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90DC" w14:textId="77777777" w:rsidR="002E1355" w:rsidRPr="00602320" w:rsidRDefault="00000000" w:rsidP="002E1355">
      <w:pPr>
        <w:pStyle w:val="Gvdemetni0"/>
        <w:jc w:val="center"/>
        <w:rPr>
          <w:b/>
          <w:bCs/>
          <w:lang w:val="en-US"/>
        </w:rPr>
      </w:pPr>
      <w:r w:rsidRPr="00602320">
        <w:rPr>
          <w:b/>
          <w:bCs/>
          <w:lang w:val="en-US"/>
        </w:rPr>
        <w:t xml:space="preserve">FENERBAÇE </w:t>
      </w:r>
      <w:r w:rsidR="002E1355" w:rsidRPr="00602320">
        <w:rPr>
          <w:b/>
          <w:bCs/>
          <w:lang w:val="en-US"/>
        </w:rPr>
        <w:t>UNIVERSITY</w:t>
      </w:r>
      <w:r w:rsidRPr="00602320">
        <w:rPr>
          <w:b/>
          <w:bCs/>
          <w:lang w:val="en-US"/>
        </w:rPr>
        <w:br/>
      </w:r>
      <w:r w:rsidR="002E1355" w:rsidRPr="00602320">
        <w:rPr>
          <w:b/>
          <w:bCs/>
          <w:lang w:val="en-US"/>
        </w:rPr>
        <w:t>FACULTY OF HEALTH SCIENCES</w:t>
      </w:r>
    </w:p>
    <w:p w14:paraId="1EA01A32" w14:textId="77777777" w:rsidR="002E1355" w:rsidRPr="00602320" w:rsidRDefault="002E1355" w:rsidP="002E1355">
      <w:pPr>
        <w:pStyle w:val="Gvdemetni0"/>
        <w:jc w:val="center"/>
        <w:rPr>
          <w:b/>
          <w:bCs/>
          <w:lang w:val="en-US"/>
        </w:rPr>
      </w:pPr>
      <w:r w:rsidRPr="00602320">
        <w:rPr>
          <w:b/>
          <w:bCs/>
          <w:lang w:val="en-US"/>
        </w:rPr>
        <w:t>DEPARTMENT OF NURSING</w:t>
      </w:r>
    </w:p>
    <w:p w14:paraId="56CD3E1C" w14:textId="5F3EDD79" w:rsidR="00617E74" w:rsidRPr="00602320" w:rsidRDefault="002E1355" w:rsidP="002E1355">
      <w:pPr>
        <w:pStyle w:val="Gvdemetni0"/>
        <w:jc w:val="center"/>
        <w:rPr>
          <w:b/>
          <w:bCs/>
          <w:lang w:val="en-US"/>
        </w:rPr>
      </w:pPr>
      <w:r w:rsidRPr="00602320">
        <w:rPr>
          <w:b/>
          <w:bCs/>
          <w:lang w:val="en-US"/>
        </w:rPr>
        <w:t xml:space="preserve">CLINICAL PRACTICE </w:t>
      </w:r>
      <w:r w:rsidRPr="00602320">
        <w:rPr>
          <w:b/>
          <w:bCs/>
          <w:lang w:val="en-US"/>
        </w:rPr>
        <w:t xml:space="preserve">DIRECTIVE </w:t>
      </w:r>
    </w:p>
    <w:p w14:paraId="7230A142" w14:textId="77777777" w:rsidR="002E1355" w:rsidRPr="00602320" w:rsidRDefault="002E1355" w:rsidP="002E1355">
      <w:pPr>
        <w:pStyle w:val="Gvdemetni0"/>
        <w:jc w:val="center"/>
        <w:rPr>
          <w:lang w:val="en-US"/>
        </w:rPr>
      </w:pPr>
    </w:p>
    <w:p w14:paraId="1AD49C0E" w14:textId="7A116679" w:rsidR="00617E74" w:rsidRPr="00602320" w:rsidRDefault="002E1355">
      <w:pPr>
        <w:pStyle w:val="Gvdemetni0"/>
        <w:spacing w:after="540"/>
        <w:jc w:val="center"/>
        <w:rPr>
          <w:lang w:val="en-US"/>
        </w:rPr>
      </w:pPr>
      <w:r w:rsidRPr="00602320">
        <w:rPr>
          <w:b/>
          <w:bCs/>
          <w:lang w:val="en-US"/>
        </w:rPr>
        <w:t>PART ONE</w:t>
      </w:r>
      <w:r w:rsidR="00000000" w:rsidRPr="00602320">
        <w:rPr>
          <w:b/>
          <w:bCs/>
          <w:lang w:val="en-US"/>
        </w:rPr>
        <w:br/>
      </w:r>
      <w:r w:rsidRPr="00602320">
        <w:rPr>
          <w:b/>
          <w:bCs/>
          <w:lang w:val="en-US"/>
        </w:rPr>
        <w:t>Purpose</w:t>
      </w:r>
      <w:r w:rsidR="00000000" w:rsidRPr="00602320">
        <w:rPr>
          <w:b/>
          <w:bCs/>
          <w:lang w:val="en-US"/>
        </w:rPr>
        <w:t xml:space="preserve">, </w:t>
      </w:r>
      <w:r w:rsidRPr="00602320">
        <w:rPr>
          <w:b/>
          <w:bCs/>
          <w:lang w:val="en-US" w:eastAsia="en-US" w:bidi="en-US"/>
        </w:rPr>
        <w:t>Scope</w:t>
      </w:r>
      <w:r w:rsidR="00000000" w:rsidRPr="00602320">
        <w:rPr>
          <w:b/>
          <w:bCs/>
          <w:lang w:val="en-US" w:eastAsia="en-US" w:bidi="en-US"/>
        </w:rPr>
        <w:t xml:space="preserve">, </w:t>
      </w:r>
      <w:r w:rsidRPr="00602320">
        <w:rPr>
          <w:b/>
          <w:bCs/>
          <w:lang w:val="en-US" w:eastAsia="en-US" w:bidi="en-US"/>
        </w:rPr>
        <w:t>Basis</w:t>
      </w:r>
      <w:r w:rsidR="00000000" w:rsidRPr="00602320">
        <w:rPr>
          <w:b/>
          <w:bCs/>
          <w:lang w:val="en-US" w:eastAsia="en-US" w:bidi="en-US"/>
        </w:rPr>
        <w:t xml:space="preserve"> </w:t>
      </w:r>
      <w:r w:rsidRPr="00602320">
        <w:rPr>
          <w:b/>
          <w:bCs/>
          <w:lang w:val="en-US" w:eastAsia="en-US" w:bidi="en-US"/>
        </w:rPr>
        <w:t>and Definit</w:t>
      </w:r>
      <w:r w:rsidR="00597CA6" w:rsidRPr="00602320">
        <w:rPr>
          <w:b/>
          <w:bCs/>
          <w:lang w:val="en-US" w:eastAsia="en-US" w:bidi="en-US"/>
        </w:rPr>
        <w:t>i</w:t>
      </w:r>
      <w:r w:rsidRPr="00602320">
        <w:rPr>
          <w:b/>
          <w:bCs/>
          <w:lang w:val="en-US" w:eastAsia="en-US" w:bidi="en-US"/>
        </w:rPr>
        <w:t>ons</w:t>
      </w:r>
    </w:p>
    <w:p w14:paraId="69737D6E" w14:textId="5BC7B39A" w:rsidR="00617E74" w:rsidRPr="00602320" w:rsidRDefault="00597CA6">
      <w:pPr>
        <w:pStyle w:val="Balk10"/>
        <w:keepNext/>
        <w:keepLines/>
        <w:spacing w:after="0"/>
        <w:jc w:val="left"/>
        <w:rPr>
          <w:lang w:val="en-US"/>
        </w:rPr>
      </w:pPr>
      <w:r w:rsidRPr="00602320">
        <w:rPr>
          <w:lang w:val="en-US"/>
        </w:rPr>
        <w:t>Purpose</w:t>
      </w:r>
    </w:p>
    <w:p w14:paraId="0E9FD595" w14:textId="40A2AEAB" w:rsidR="00617E74" w:rsidRPr="00602320" w:rsidRDefault="00597CA6">
      <w:pPr>
        <w:pStyle w:val="Gvdemetni0"/>
        <w:spacing w:after="260"/>
        <w:jc w:val="both"/>
        <w:rPr>
          <w:lang w:val="en-US"/>
        </w:rPr>
      </w:pPr>
      <w:r w:rsidRPr="00602320">
        <w:rPr>
          <w:b/>
          <w:bCs/>
          <w:lang w:val="en-US" w:eastAsia="en-US" w:bidi="en-US"/>
        </w:rPr>
        <w:t>Article</w:t>
      </w:r>
      <w:r w:rsidR="00000000" w:rsidRPr="00602320">
        <w:rPr>
          <w:b/>
          <w:bCs/>
          <w:lang w:val="en-US" w:eastAsia="en-US" w:bidi="en-US"/>
        </w:rPr>
        <w:t xml:space="preserve"> 1: </w:t>
      </w:r>
      <w:r w:rsidR="009D72CB" w:rsidRPr="00602320">
        <w:rPr>
          <w:lang w:val="en-US" w:eastAsia="en-US" w:bidi="en-US"/>
        </w:rPr>
        <w:t>The purpose of this Directive is to determine the responsibilities, basic rules, principles and methods of the clinical practices to be performed by the students of Fenerbahçe University, Faculty of Health Sciences (SBF), Department of Nursing during the periods foreseen in the education-training (curriculum) program</w:t>
      </w:r>
      <w:r w:rsidR="00000000" w:rsidRPr="00602320">
        <w:rPr>
          <w:lang w:val="en-US" w:eastAsia="en-US" w:bidi="en-US"/>
        </w:rPr>
        <w:t>.</w:t>
      </w:r>
    </w:p>
    <w:p w14:paraId="24D168D5" w14:textId="5A9190DB" w:rsidR="00617E74" w:rsidRPr="00602320" w:rsidRDefault="00597CA6">
      <w:pPr>
        <w:pStyle w:val="Balk10"/>
        <w:keepNext/>
        <w:keepLines/>
        <w:spacing w:after="0"/>
        <w:jc w:val="both"/>
        <w:rPr>
          <w:lang w:val="en-US"/>
        </w:rPr>
      </w:pPr>
      <w:r w:rsidRPr="00602320">
        <w:rPr>
          <w:lang w:val="en-US" w:eastAsia="en-US" w:bidi="en-US"/>
        </w:rPr>
        <w:t>Scope</w:t>
      </w:r>
    </w:p>
    <w:p w14:paraId="10AF7398" w14:textId="1B9C71B2" w:rsidR="00617E74" w:rsidRPr="00602320" w:rsidRDefault="00597CA6">
      <w:pPr>
        <w:pStyle w:val="Gvdemetni0"/>
        <w:spacing w:after="260"/>
        <w:jc w:val="both"/>
        <w:rPr>
          <w:lang w:val="en-US"/>
        </w:rPr>
      </w:pPr>
      <w:r w:rsidRPr="00602320">
        <w:rPr>
          <w:b/>
          <w:bCs/>
          <w:lang w:val="en-US" w:eastAsia="en-US" w:bidi="en-US"/>
        </w:rPr>
        <w:t xml:space="preserve">Article </w:t>
      </w:r>
      <w:r w:rsidR="00000000" w:rsidRPr="00602320">
        <w:rPr>
          <w:b/>
          <w:bCs/>
          <w:lang w:val="en-US" w:eastAsia="en-US" w:bidi="en-US"/>
        </w:rPr>
        <w:t xml:space="preserve">2: </w:t>
      </w:r>
      <w:r w:rsidR="009D72CB" w:rsidRPr="00602320">
        <w:rPr>
          <w:lang w:val="en-US"/>
        </w:rPr>
        <w:t>It covers the areas where Fenerbahçe University SBF (Faculty of Health Sciences) Nursing Department students and academic staff will perform clinical practice, their duties and responsibilities in these areas, and the procedures and principles for evaluating their practices</w:t>
      </w:r>
      <w:r w:rsidR="00000000" w:rsidRPr="00602320">
        <w:rPr>
          <w:lang w:val="en-US" w:eastAsia="en-US" w:bidi="en-US"/>
        </w:rPr>
        <w:t>.</w:t>
      </w:r>
    </w:p>
    <w:p w14:paraId="35F25B3F" w14:textId="67CDA5D3" w:rsidR="00617E74" w:rsidRPr="00602320" w:rsidRDefault="00597CA6">
      <w:pPr>
        <w:pStyle w:val="Balk10"/>
        <w:keepNext/>
        <w:keepLines/>
        <w:spacing w:after="0"/>
        <w:jc w:val="both"/>
        <w:rPr>
          <w:lang w:val="en-US"/>
        </w:rPr>
      </w:pPr>
      <w:r w:rsidRPr="00602320">
        <w:rPr>
          <w:lang w:val="en-US" w:eastAsia="en-US" w:bidi="en-US"/>
        </w:rPr>
        <w:t>Basis</w:t>
      </w:r>
    </w:p>
    <w:p w14:paraId="2DA34F3D" w14:textId="227B44E9" w:rsidR="00617E74" w:rsidRPr="00602320" w:rsidRDefault="00597CA6">
      <w:pPr>
        <w:pStyle w:val="Gvdemetni0"/>
        <w:spacing w:after="260"/>
        <w:jc w:val="both"/>
        <w:rPr>
          <w:lang w:val="en-US"/>
        </w:rPr>
      </w:pPr>
      <w:r w:rsidRPr="00602320">
        <w:rPr>
          <w:b/>
          <w:bCs/>
          <w:lang w:val="en-US" w:eastAsia="en-US" w:bidi="en-US"/>
        </w:rPr>
        <w:t xml:space="preserve">Article </w:t>
      </w:r>
      <w:r w:rsidR="00000000" w:rsidRPr="00602320">
        <w:rPr>
          <w:b/>
          <w:bCs/>
          <w:lang w:val="en-US" w:eastAsia="en-US" w:bidi="en-US"/>
        </w:rPr>
        <w:t xml:space="preserve">3: </w:t>
      </w:r>
      <w:r w:rsidR="009D72CB" w:rsidRPr="00602320">
        <w:rPr>
          <w:lang w:val="en-US" w:eastAsia="en-US" w:bidi="en-US"/>
        </w:rPr>
        <w:t>This Directive has been prepared based on the "Fenerbahçe University Undergraduate Education and Exam Regulation"</w:t>
      </w:r>
      <w:r w:rsidR="00000000" w:rsidRPr="00602320">
        <w:rPr>
          <w:lang w:val="en-US"/>
        </w:rPr>
        <w:t>.</w:t>
      </w:r>
    </w:p>
    <w:p w14:paraId="6D239858" w14:textId="4F93F456" w:rsidR="00617E74" w:rsidRPr="00602320" w:rsidRDefault="00597CA6">
      <w:pPr>
        <w:pStyle w:val="Balk10"/>
        <w:keepNext/>
        <w:keepLines/>
        <w:spacing w:after="0"/>
        <w:jc w:val="both"/>
        <w:rPr>
          <w:lang w:val="en-US"/>
        </w:rPr>
      </w:pPr>
      <w:r w:rsidRPr="00602320">
        <w:rPr>
          <w:lang w:val="en-US"/>
        </w:rPr>
        <w:t>Definitions</w:t>
      </w:r>
    </w:p>
    <w:p w14:paraId="09986939" w14:textId="71A54B3B" w:rsidR="00617E74" w:rsidRPr="00602320" w:rsidRDefault="00597CA6">
      <w:pPr>
        <w:pStyle w:val="Gvdemetni0"/>
        <w:jc w:val="both"/>
        <w:rPr>
          <w:lang w:val="en-US"/>
        </w:rPr>
      </w:pPr>
      <w:r w:rsidRPr="00602320">
        <w:rPr>
          <w:b/>
          <w:bCs/>
          <w:lang w:val="en-US" w:eastAsia="en-US" w:bidi="en-US"/>
        </w:rPr>
        <w:t xml:space="preserve">Article </w:t>
      </w:r>
      <w:r w:rsidR="00000000" w:rsidRPr="00602320">
        <w:rPr>
          <w:b/>
          <w:bCs/>
          <w:lang w:val="en-US" w:eastAsia="en-US" w:bidi="en-US"/>
        </w:rPr>
        <w:t xml:space="preserve">4: </w:t>
      </w:r>
      <w:r w:rsidR="009D72CB" w:rsidRPr="00602320">
        <w:rPr>
          <w:lang w:val="en-US" w:eastAsia="en-US" w:bidi="en-US"/>
        </w:rPr>
        <w:t>The terms used in this Directive have the following meanings</w:t>
      </w:r>
      <w:r w:rsidR="009D72CB" w:rsidRPr="00602320">
        <w:rPr>
          <w:lang w:val="en-US"/>
        </w:rPr>
        <w:t>:</w:t>
      </w:r>
    </w:p>
    <w:p w14:paraId="37096FEC" w14:textId="48C1B0E4" w:rsidR="00617E74" w:rsidRPr="00602320" w:rsidRDefault="009D72CB">
      <w:pPr>
        <w:pStyle w:val="Gvdemetni0"/>
        <w:numPr>
          <w:ilvl w:val="0"/>
          <w:numId w:val="1"/>
        </w:numPr>
        <w:tabs>
          <w:tab w:val="left" w:pos="340"/>
        </w:tabs>
        <w:jc w:val="both"/>
        <w:rPr>
          <w:lang w:val="en-US"/>
        </w:rPr>
      </w:pPr>
      <w:r w:rsidRPr="00602320">
        <w:rPr>
          <w:lang w:val="en-US"/>
        </w:rPr>
        <w:t>University: Fenerbahce University</w:t>
      </w:r>
      <w:r w:rsidR="00000000" w:rsidRPr="00602320">
        <w:rPr>
          <w:lang w:val="en-US"/>
        </w:rPr>
        <w:t>,</w:t>
      </w:r>
    </w:p>
    <w:p w14:paraId="00177DC4" w14:textId="11ECD090" w:rsidR="00617E74" w:rsidRPr="00602320" w:rsidRDefault="009D72CB">
      <w:pPr>
        <w:pStyle w:val="Gvdemetni0"/>
        <w:numPr>
          <w:ilvl w:val="0"/>
          <w:numId w:val="1"/>
        </w:numPr>
        <w:tabs>
          <w:tab w:val="left" w:pos="364"/>
        </w:tabs>
        <w:jc w:val="both"/>
        <w:rPr>
          <w:lang w:val="en-US"/>
        </w:rPr>
      </w:pPr>
      <w:r w:rsidRPr="00602320">
        <w:rPr>
          <w:lang w:val="en-US"/>
        </w:rPr>
        <w:t>Faculty: Faculty of Health Sciences</w:t>
      </w:r>
      <w:r w:rsidR="00000000" w:rsidRPr="00602320">
        <w:rPr>
          <w:lang w:val="en-US"/>
        </w:rPr>
        <w:t>,</w:t>
      </w:r>
    </w:p>
    <w:p w14:paraId="20407131" w14:textId="685C72A2" w:rsidR="00617E74" w:rsidRPr="00602320" w:rsidRDefault="009D72CB">
      <w:pPr>
        <w:pStyle w:val="Gvdemetni0"/>
        <w:numPr>
          <w:ilvl w:val="0"/>
          <w:numId w:val="1"/>
        </w:numPr>
        <w:tabs>
          <w:tab w:val="left" w:pos="340"/>
        </w:tabs>
        <w:jc w:val="both"/>
        <w:rPr>
          <w:lang w:val="en-US"/>
        </w:rPr>
      </w:pPr>
      <w:r w:rsidRPr="00602320">
        <w:rPr>
          <w:lang w:val="en-US" w:eastAsia="en-US" w:bidi="en-US"/>
        </w:rPr>
        <w:t>Dean: Dean of Fenerbahce University Faculty of Health Sciences</w:t>
      </w:r>
      <w:r w:rsidR="00000000" w:rsidRPr="00602320">
        <w:rPr>
          <w:lang w:val="en-US"/>
        </w:rPr>
        <w:t>,</w:t>
      </w:r>
    </w:p>
    <w:p w14:paraId="5E4E2A7E" w14:textId="4968BA7B" w:rsidR="009D72CB" w:rsidRPr="00602320" w:rsidRDefault="009D72CB">
      <w:pPr>
        <w:pStyle w:val="Gvdemetni0"/>
        <w:numPr>
          <w:ilvl w:val="0"/>
          <w:numId w:val="1"/>
        </w:numPr>
        <w:tabs>
          <w:tab w:val="left" w:pos="354"/>
        </w:tabs>
        <w:jc w:val="both"/>
        <w:rPr>
          <w:lang w:val="en-US"/>
        </w:rPr>
      </w:pPr>
      <w:r w:rsidRPr="00602320">
        <w:rPr>
          <w:lang w:val="en-US"/>
        </w:rPr>
        <w:t>Department Head: Head of Nursing Department of the Faculty of Health Sciences</w:t>
      </w:r>
      <w:r w:rsidR="00000000" w:rsidRPr="00602320">
        <w:rPr>
          <w:lang w:val="en-US"/>
        </w:rPr>
        <w:t xml:space="preserve">, </w:t>
      </w:r>
    </w:p>
    <w:p w14:paraId="55A8A670" w14:textId="77777777" w:rsidR="009D72CB" w:rsidRPr="00602320" w:rsidRDefault="009D72CB" w:rsidP="009D72CB">
      <w:pPr>
        <w:pStyle w:val="Gvdemetni0"/>
        <w:numPr>
          <w:ilvl w:val="0"/>
          <w:numId w:val="1"/>
        </w:numPr>
        <w:tabs>
          <w:tab w:val="left" w:pos="354"/>
        </w:tabs>
        <w:jc w:val="both"/>
        <w:rPr>
          <w:lang w:val="en-US"/>
        </w:rPr>
      </w:pPr>
      <w:r w:rsidRPr="00602320">
        <w:rPr>
          <w:lang w:val="en-US" w:eastAsia="en-US" w:bidi="en-US"/>
        </w:rPr>
        <w:t xml:space="preserve">Clinical Practice </w:t>
      </w:r>
      <w:r w:rsidRPr="00602320">
        <w:rPr>
          <w:lang w:val="en-US" w:eastAsia="en-US" w:bidi="en-US"/>
        </w:rPr>
        <w:t>Responsible</w:t>
      </w:r>
      <w:r w:rsidRPr="00602320">
        <w:rPr>
          <w:lang w:val="en-US" w:eastAsia="en-US" w:bidi="en-US"/>
        </w:rPr>
        <w:t>: The instructor(s) responsible for the course implemented in the relevant academic year</w:t>
      </w:r>
      <w:r w:rsidR="00000000" w:rsidRPr="00602320">
        <w:rPr>
          <w:lang w:val="en-US"/>
        </w:rPr>
        <w:t>,</w:t>
      </w:r>
    </w:p>
    <w:p w14:paraId="0907C19E" w14:textId="47BB126C" w:rsidR="009D72CB" w:rsidRPr="00602320" w:rsidRDefault="00F43D76" w:rsidP="009D72CB">
      <w:pPr>
        <w:pStyle w:val="Gvdemetni0"/>
        <w:numPr>
          <w:ilvl w:val="0"/>
          <w:numId w:val="1"/>
        </w:numPr>
        <w:tabs>
          <w:tab w:val="left" w:pos="354"/>
        </w:tabs>
        <w:jc w:val="both"/>
        <w:rPr>
          <w:lang w:val="en-US"/>
        </w:rPr>
      </w:pPr>
      <w:r w:rsidRPr="00602320">
        <w:rPr>
          <w:lang w:val="en-US" w:eastAsia="en-US" w:bidi="en-US"/>
        </w:rPr>
        <w:t>Clinical Practice Manager: Education nurse or assigned guide nurse determined by the institution where the practice is carried out</w:t>
      </w:r>
      <w:r w:rsidR="00000000" w:rsidRPr="00602320">
        <w:rPr>
          <w:lang w:val="en-US"/>
        </w:rPr>
        <w:t>,</w:t>
      </w:r>
    </w:p>
    <w:p w14:paraId="2D2A6CB2" w14:textId="4F61A395" w:rsidR="009D72CB" w:rsidRPr="00602320" w:rsidRDefault="00F43D76" w:rsidP="009D72CB">
      <w:pPr>
        <w:pStyle w:val="Gvdemetni0"/>
        <w:numPr>
          <w:ilvl w:val="0"/>
          <w:numId w:val="1"/>
        </w:numPr>
        <w:tabs>
          <w:tab w:val="left" w:pos="354"/>
        </w:tabs>
        <w:jc w:val="both"/>
        <w:rPr>
          <w:lang w:val="en-US"/>
        </w:rPr>
      </w:pPr>
      <w:r w:rsidRPr="00602320">
        <w:rPr>
          <w:lang w:val="en-US" w:eastAsia="en-US" w:bidi="en-US"/>
        </w:rPr>
        <w:t xml:space="preserve">Clinical </w:t>
      </w:r>
      <w:r w:rsidRPr="00602320">
        <w:rPr>
          <w:lang w:val="en-US" w:eastAsia="en-US" w:bidi="en-US"/>
        </w:rPr>
        <w:t>Practice</w:t>
      </w:r>
      <w:r w:rsidRPr="00602320">
        <w:rPr>
          <w:lang w:val="en-US" w:eastAsia="en-US" w:bidi="en-US"/>
        </w:rPr>
        <w:t xml:space="preserve"> Area: Public and private institutions or organizations where the </w:t>
      </w:r>
      <w:r w:rsidR="009B2E15">
        <w:rPr>
          <w:lang w:val="en-US" w:eastAsia="en-US" w:bidi="en-US"/>
        </w:rPr>
        <w:t>practice</w:t>
      </w:r>
      <w:r w:rsidRPr="00602320">
        <w:rPr>
          <w:lang w:val="en-US" w:eastAsia="en-US" w:bidi="en-US"/>
        </w:rPr>
        <w:t xml:space="preserve"> is performed</w:t>
      </w:r>
      <w:r w:rsidR="00000000" w:rsidRPr="00602320">
        <w:rPr>
          <w:lang w:val="en-US"/>
        </w:rPr>
        <w:t xml:space="preserve">, </w:t>
      </w:r>
    </w:p>
    <w:p w14:paraId="19352C49" w14:textId="662479F9" w:rsidR="009D72CB" w:rsidRPr="00602320" w:rsidRDefault="00F43D76" w:rsidP="009D72CB">
      <w:pPr>
        <w:pStyle w:val="Gvdemetni0"/>
        <w:numPr>
          <w:ilvl w:val="0"/>
          <w:numId w:val="1"/>
        </w:numPr>
        <w:tabs>
          <w:tab w:val="left" w:pos="354"/>
        </w:tabs>
        <w:jc w:val="both"/>
        <w:rPr>
          <w:lang w:val="en-US"/>
        </w:rPr>
      </w:pPr>
      <w:r w:rsidRPr="00602320">
        <w:rPr>
          <w:lang w:val="en-US" w:eastAsia="en-US" w:bidi="en-US"/>
        </w:rPr>
        <w:t>Clinical Practice Duration: The duration specified in the curriculum</w:t>
      </w:r>
      <w:r w:rsidR="00000000" w:rsidRPr="00602320">
        <w:rPr>
          <w:lang w:val="en-US"/>
        </w:rPr>
        <w:t>,</w:t>
      </w:r>
    </w:p>
    <w:p w14:paraId="4995CA32" w14:textId="7A6442A9" w:rsidR="00617E74" w:rsidRPr="00602320" w:rsidRDefault="00F43D76" w:rsidP="009D72CB">
      <w:pPr>
        <w:pStyle w:val="Gvdemetni0"/>
        <w:numPr>
          <w:ilvl w:val="0"/>
          <w:numId w:val="1"/>
        </w:numPr>
        <w:tabs>
          <w:tab w:val="left" w:pos="354"/>
        </w:tabs>
        <w:jc w:val="both"/>
        <w:rPr>
          <w:lang w:val="en-US"/>
        </w:rPr>
      </w:pPr>
      <w:r w:rsidRPr="00602320">
        <w:rPr>
          <w:lang w:val="en-US" w:eastAsia="en-US" w:bidi="en-US"/>
        </w:rPr>
        <w:t>Clinical Practice Evaluation Form: Form filled out by the practice manager</w:t>
      </w:r>
      <w:r w:rsidRPr="00602320">
        <w:rPr>
          <w:lang w:val="en-US" w:eastAsia="en-US" w:bidi="en-US"/>
        </w:rPr>
        <w:t>.</w:t>
      </w:r>
    </w:p>
    <w:p w14:paraId="466A9691" w14:textId="77777777" w:rsidR="00F43D76" w:rsidRPr="00602320" w:rsidRDefault="00F43D76" w:rsidP="00F43D76">
      <w:pPr>
        <w:pStyle w:val="Gvdemetni0"/>
        <w:tabs>
          <w:tab w:val="left" w:pos="354"/>
        </w:tabs>
        <w:jc w:val="both"/>
        <w:rPr>
          <w:lang w:val="en-US"/>
        </w:rPr>
      </w:pPr>
    </w:p>
    <w:p w14:paraId="127AAB18" w14:textId="31AACC0C" w:rsidR="00617E74" w:rsidRPr="00602320" w:rsidRDefault="00F43D76">
      <w:pPr>
        <w:pStyle w:val="Balk10"/>
        <w:keepNext/>
        <w:keepLines/>
        <w:rPr>
          <w:lang w:val="en-US"/>
        </w:rPr>
      </w:pPr>
      <w:bookmarkStart w:id="0" w:name="bookmark8"/>
      <w:r w:rsidRPr="00602320">
        <w:rPr>
          <w:lang w:val="en-US"/>
        </w:rPr>
        <w:t>PART TWO</w:t>
      </w:r>
      <w:r w:rsidR="00000000" w:rsidRPr="00602320">
        <w:rPr>
          <w:lang w:val="en-US"/>
        </w:rPr>
        <w:br/>
      </w:r>
      <w:bookmarkEnd w:id="0"/>
      <w:r w:rsidRPr="00602320">
        <w:rPr>
          <w:lang w:val="en-US"/>
        </w:rPr>
        <w:t xml:space="preserve">Framework of the </w:t>
      </w:r>
      <w:r w:rsidRPr="00602320">
        <w:rPr>
          <w:lang w:val="en-US"/>
        </w:rPr>
        <w:t>Practice</w:t>
      </w:r>
    </w:p>
    <w:p w14:paraId="070283C6" w14:textId="7F90B11B" w:rsidR="00617E74" w:rsidRPr="00602320" w:rsidRDefault="00597CA6">
      <w:pPr>
        <w:pStyle w:val="Gvdemetni0"/>
        <w:spacing w:after="400"/>
        <w:jc w:val="both"/>
        <w:rPr>
          <w:lang w:val="en-US"/>
        </w:rPr>
      </w:pPr>
      <w:r w:rsidRPr="00602320">
        <w:rPr>
          <w:b/>
          <w:bCs/>
          <w:lang w:val="en-US" w:eastAsia="en-US" w:bidi="en-US"/>
        </w:rPr>
        <w:t xml:space="preserve">Article </w:t>
      </w:r>
      <w:r w:rsidR="00000000" w:rsidRPr="00602320">
        <w:rPr>
          <w:b/>
          <w:bCs/>
          <w:lang w:val="en-US" w:eastAsia="en-US" w:bidi="en-US"/>
        </w:rPr>
        <w:t xml:space="preserve">5: </w:t>
      </w:r>
      <w:r w:rsidR="002B3DAA" w:rsidRPr="00602320">
        <w:rPr>
          <w:lang w:val="en-US"/>
        </w:rPr>
        <w:t>Students can do their practices in institutions and organizations recommended by the Department Head and approved by the Faculty Dean's Office. In order for students to take clinical practice courses, they must have completed the required attendance in the courses specified below</w:t>
      </w:r>
      <w:r w:rsidR="00000000" w:rsidRPr="00602320">
        <w:rPr>
          <w:lang w:val="en-US" w:eastAsia="en-US" w:bidi="en-US"/>
        </w:rPr>
        <w:t>.</w:t>
      </w:r>
    </w:p>
    <w:p w14:paraId="0686046C" w14:textId="3B5D47F4" w:rsidR="00617E74" w:rsidRPr="00602320" w:rsidRDefault="002B3DAA">
      <w:pPr>
        <w:pStyle w:val="Gvdemetni0"/>
        <w:spacing w:after="260"/>
        <w:jc w:val="both"/>
        <w:rPr>
          <w:lang w:val="en-US"/>
        </w:rPr>
      </w:pPr>
      <w:r w:rsidRPr="00602320">
        <w:rPr>
          <w:lang w:val="en-US" w:eastAsia="en-US" w:bidi="en-US"/>
        </w:rPr>
        <w:t>Clinical Practice Courses:</w:t>
      </w:r>
      <w:r w:rsidRPr="00602320">
        <w:rPr>
          <w:lang w:val="en-US" w:eastAsia="en-US" w:bidi="en-US"/>
        </w:rPr>
        <w:t xml:space="preserve"> </w:t>
      </w:r>
      <w:r w:rsidRPr="00602320">
        <w:rPr>
          <w:lang w:val="en-US"/>
        </w:rPr>
        <w:t xml:space="preserve">This includes clinical practice of Fundamentals of Nursing, Internal Medicine Nursing, Surgical Nursing, Women's Health and Diseases Nursing, Child Health and </w:t>
      </w:r>
      <w:r w:rsidRPr="00602320">
        <w:rPr>
          <w:lang w:val="en-US"/>
        </w:rPr>
        <w:lastRenderedPageBreak/>
        <w:t>Diseases Nursing, Mental Health and Psychiatric Nursing, Public Health Nursing, Nursing Administration, Nursing Education courses and related applied elective courses</w:t>
      </w:r>
      <w:r w:rsidR="00000000" w:rsidRPr="00602320">
        <w:rPr>
          <w:lang w:val="en-US"/>
        </w:rPr>
        <w:t>.</w:t>
      </w:r>
    </w:p>
    <w:p w14:paraId="5E644D45" w14:textId="53EE01E3" w:rsidR="00617E74" w:rsidRPr="00602320" w:rsidRDefault="00597CA6">
      <w:pPr>
        <w:pStyle w:val="Gvdemetni0"/>
        <w:jc w:val="both"/>
        <w:rPr>
          <w:lang w:val="en-US"/>
        </w:rPr>
      </w:pPr>
      <w:r w:rsidRPr="00602320">
        <w:rPr>
          <w:b/>
          <w:bCs/>
          <w:lang w:val="en-US" w:eastAsia="en-US" w:bidi="en-US"/>
        </w:rPr>
        <w:t xml:space="preserve">Article </w:t>
      </w:r>
      <w:r w:rsidR="00000000" w:rsidRPr="00602320">
        <w:rPr>
          <w:b/>
          <w:bCs/>
          <w:lang w:val="en-US" w:eastAsia="en-US" w:bidi="en-US"/>
        </w:rPr>
        <w:t xml:space="preserve">6: </w:t>
      </w:r>
      <w:r w:rsidR="002B3DAA" w:rsidRPr="00602320">
        <w:rPr>
          <w:lang w:val="en-US"/>
        </w:rPr>
        <w:t>The duties and responsibilities of the Department Head are listed below</w:t>
      </w:r>
      <w:r w:rsidR="00000000" w:rsidRPr="00602320">
        <w:rPr>
          <w:lang w:val="en-US"/>
        </w:rPr>
        <w:t>.</w:t>
      </w:r>
    </w:p>
    <w:p w14:paraId="48F52615" w14:textId="24521789" w:rsidR="00617E74" w:rsidRPr="00602320" w:rsidRDefault="002B3DAA">
      <w:pPr>
        <w:pStyle w:val="Gvdemetni0"/>
        <w:numPr>
          <w:ilvl w:val="0"/>
          <w:numId w:val="2"/>
        </w:numPr>
        <w:tabs>
          <w:tab w:val="left" w:pos="368"/>
        </w:tabs>
        <w:jc w:val="both"/>
        <w:rPr>
          <w:lang w:val="en-US"/>
        </w:rPr>
      </w:pPr>
      <w:r w:rsidRPr="00602320">
        <w:rPr>
          <w:lang w:val="en-US" w:eastAsia="en-US" w:bidi="en-US"/>
        </w:rPr>
        <w:t>To notify the Dean's Office of the institutions and organizations where clinical practice is planned</w:t>
      </w:r>
      <w:r w:rsidR="00000000" w:rsidRPr="00602320">
        <w:rPr>
          <w:lang w:val="en-US" w:eastAsia="en-US" w:bidi="en-US"/>
        </w:rPr>
        <w:t>.</w:t>
      </w:r>
    </w:p>
    <w:p w14:paraId="7FC2E18C" w14:textId="416FC742" w:rsidR="00617E74" w:rsidRPr="00602320" w:rsidRDefault="002B3DAA">
      <w:pPr>
        <w:pStyle w:val="Gvdemetni0"/>
        <w:numPr>
          <w:ilvl w:val="0"/>
          <w:numId w:val="2"/>
        </w:numPr>
        <w:tabs>
          <w:tab w:val="left" w:pos="392"/>
        </w:tabs>
        <w:jc w:val="both"/>
        <w:rPr>
          <w:lang w:val="en-US"/>
        </w:rPr>
      </w:pPr>
      <w:r w:rsidRPr="00602320">
        <w:rPr>
          <w:lang w:val="en-US"/>
        </w:rPr>
        <w:t>To ensure that protocols are prepared with clinical practice areas approved by the Dean's Office</w:t>
      </w:r>
      <w:r w:rsidR="00000000" w:rsidRPr="00602320">
        <w:rPr>
          <w:lang w:val="en-US" w:eastAsia="en-US" w:bidi="en-US"/>
        </w:rPr>
        <w:t>.</w:t>
      </w:r>
    </w:p>
    <w:p w14:paraId="7253A39B" w14:textId="6CE028E6" w:rsidR="00617E74" w:rsidRPr="00602320" w:rsidRDefault="002B3DAA">
      <w:pPr>
        <w:pStyle w:val="Gvdemetni0"/>
        <w:numPr>
          <w:ilvl w:val="0"/>
          <w:numId w:val="2"/>
        </w:numPr>
        <w:tabs>
          <w:tab w:val="left" w:pos="368"/>
        </w:tabs>
        <w:jc w:val="both"/>
        <w:rPr>
          <w:lang w:val="en-US"/>
        </w:rPr>
      </w:pPr>
      <w:r w:rsidRPr="00602320">
        <w:rPr>
          <w:lang w:val="en-US"/>
        </w:rPr>
        <w:t xml:space="preserve">To determine and assign clinical practice </w:t>
      </w:r>
      <w:r w:rsidRPr="00602320">
        <w:rPr>
          <w:lang w:val="en-US"/>
        </w:rPr>
        <w:t>responsible</w:t>
      </w:r>
      <w:r w:rsidRPr="00602320">
        <w:rPr>
          <w:lang w:val="en-US"/>
        </w:rPr>
        <w:t xml:space="preserve"> from among the </w:t>
      </w:r>
      <w:r w:rsidRPr="00602320">
        <w:rPr>
          <w:lang w:val="en-US"/>
        </w:rPr>
        <w:t>instructors</w:t>
      </w:r>
      <w:r w:rsidRPr="00602320">
        <w:rPr>
          <w:lang w:val="en-US"/>
        </w:rPr>
        <w:t xml:space="preserve"> of the Nursing Department</w:t>
      </w:r>
      <w:r w:rsidR="00000000" w:rsidRPr="00602320">
        <w:rPr>
          <w:lang w:val="en-US"/>
        </w:rPr>
        <w:t>.</w:t>
      </w:r>
    </w:p>
    <w:p w14:paraId="0DB852F2" w14:textId="34427E91" w:rsidR="00617E74" w:rsidRPr="00602320" w:rsidRDefault="002B3DAA">
      <w:pPr>
        <w:pStyle w:val="Gvdemetni0"/>
        <w:numPr>
          <w:ilvl w:val="0"/>
          <w:numId w:val="2"/>
        </w:numPr>
        <w:tabs>
          <w:tab w:val="left" w:pos="382"/>
        </w:tabs>
        <w:jc w:val="both"/>
        <w:rPr>
          <w:lang w:val="en-US"/>
        </w:rPr>
      </w:pPr>
      <w:r w:rsidRPr="00602320">
        <w:rPr>
          <w:lang w:val="en-US" w:eastAsia="en-US" w:bidi="en-US"/>
        </w:rPr>
        <w:t xml:space="preserve">To ensure that the </w:t>
      </w:r>
      <w:r w:rsidR="009B2E15">
        <w:rPr>
          <w:lang w:val="en-US" w:eastAsia="en-US" w:bidi="en-US"/>
        </w:rPr>
        <w:t>practice</w:t>
      </w:r>
      <w:r w:rsidRPr="00602320">
        <w:rPr>
          <w:lang w:val="en-US" w:eastAsia="en-US" w:bidi="en-US"/>
        </w:rPr>
        <w:t xml:space="preserve"> is carried out completely in line with the information provided by the Clinical </w:t>
      </w:r>
      <w:r w:rsidRPr="00602320">
        <w:rPr>
          <w:lang w:val="en-US" w:eastAsia="en-US" w:bidi="en-US"/>
        </w:rPr>
        <w:t>Practice</w:t>
      </w:r>
      <w:r w:rsidRPr="00602320">
        <w:rPr>
          <w:lang w:val="en-US" w:eastAsia="en-US" w:bidi="en-US"/>
        </w:rPr>
        <w:t xml:space="preserve"> </w:t>
      </w:r>
      <w:r w:rsidRPr="00602320">
        <w:rPr>
          <w:lang w:val="en-US" w:eastAsia="en-US" w:bidi="en-US"/>
        </w:rPr>
        <w:t>Responsible</w:t>
      </w:r>
      <w:r w:rsidR="00000000" w:rsidRPr="00602320">
        <w:rPr>
          <w:lang w:val="en-US"/>
        </w:rPr>
        <w:t>.</w:t>
      </w:r>
    </w:p>
    <w:p w14:paraId="7352B519" w14:textId="63D16745" w:rsidR="00617E74" w:rsidRPr="00602320" w:rsidRDefault="002B3DAA">
      <w:pPr>
        <w:pStyle w:val="Gvdemetni0"/>
        <w:numPr>
          <w:ilvl w:val="0"/>
          <w:numId w:val="2"/>
        </w:numPr>
        <w:tabs>
          <w:tab w:val="left" w:pos="368"/>
        </w:tabs>
        <w:spacing w:after="260"/>
        <w:jc w:val="both"/>
        <w:rPr>
          <w:lang w:val="en-US"/>
        </w:rPr>
      </w:pPr>
      <w:r w:rsidRPr="00602320">
        <w:rPr>
          <w:lang w:val="en-US" w:eastAsia="en-US" w:bidi="en-US"/>
        </w:rPr>
        <w:t>To conduct official correspondence regarding Clinical Practice</w:t>
      </w:r>
      <w:r w:rsidR="00000000" w:rsidRPr="00602320">
        <w:rPr>
          <w:lang w:val="en-US"/>
        </w:rPr>
        <w:t>.</w:t>
      </w:r>
    </w:p>
    <w:p w14:paraId="46FA8036" w14:textId="46E4A82D" w:rsidR="00617E74" w:rsidRPr="00602320" w:rsidRDefault="00597CA6">
      <w:pPr>
        <w:pStyle w:val="Gvdemetni0"/>
        <w:jc w:val="both"/>
        <w:rPr>
          <w:lang w:val="en-US"/>
        </w:rPr>
      </w:pPr>
      <w:r w:rsidRPr="00602320">
        <w:rPr>
          <w:b/>
          <w:bCs/>
          <w:lang w:val="en-US" w:eastAsia="en-US" w:bidi="en-US"/>
        </w:rPr>
        <w:t xml:space="preserve">Article </w:t>
      </w:r>
      <w:r w:rsidR="00000000" w:rsidRPr="00602320">
        <w:rPr>
          <w:b/>
          <w:bCs/>
          <w:lang w:val="en-US" w:eastAsia="en-US" w:bidi="en-US"/>
        </w:rPr>
        <w:t xml:space="preserve">7: </w:t>
      </w:r>
      <w:r w:rsidR="00C77E5F" w:rsidRPr="00602320">
        <w:rPr>
          <w:lang w:val="en-US"/>
        </w:rPr>
        <w:t>The duties and responsibilities of the student are listed below</w:t>
      </w:r>
      <w:r w:rsidR="00000000" w:rsidRPr="00602320">
        <w:rPr>
          <w:lang w:val="en-US"/>
        </w:rPr>
        <w:t>.</w:t>
      </w:r>
    </w:p>
    <w:p w14:paraId="13156279" w14:textId="2019BE04" w:rsidR="00617E74" w:rsidRPr="00602320" w:rsidRDefault="00C77E5F">
      <w:pPr>
        <w:pStyle w:val="Gvdemetni0"/>
        <w:numPr>
          <w:ilvl w:val="0"/>
          <w:numId w:val="3"/>
        </w:numPr>
        <w:tabs>
          <w:tab w:val="left" w:pos="368"/>
        </w:tabs>
        <w:jc w:val="both"/>
        <w:rPr>
          <w:lang w:val="en-US"/>
        </w:rPr>
      </w:pPr>
      <w:r w:rsidRPr="00602320">
        <w:rPr>
          <w:lang w:val="en-US" w:eastAsia="en-US" w:bidi="en-US"/>
        </w:rPr>
        <w:t>To obtain the forms that will be used throughout the practice at the beginning of the clinical practice</w:t>
      </w:r>
      <w:r w:rsidR="00000000" w:rsidRPr="00602320">
        <w:rPr>
          <w:lang w:val="en-US" w:eastAsia="en-US" w:bidi="en-US"/>
        </w:rPr>
        <w:t>.</w:t>
      </w:r>
    </w:p>
    <w:p w14:paraId="366F810B" w14:textId="4EA29A7E" w:rsidR="00617E74" w:rsidRPr="00602320" w:rsidRDefault="00C77E5F">
      <w:pPr>
        <w:pStyle w:val="Gvdemetni0"/>
        <w:numPr>
          <w:ilvl w:val="0"/>
          <w:numId w:val="3"/>
        </w:numPr>
        <w:tabs>
          <w:tab w:val="left" w:pos="392"/>
        </w:tabs>
        <w:jc w:val="both"/>
        <w:rPr>
          <w:lang w:val="en-US"/>
        </w:rPr>
      </w:pPr>
      <w:r w:rsidRPr="00602320">
        <w:rPr>
          <w:lang w:val="en-US" w:eastAsia="en-US" w:bidi="en-US"/>
        </w:rPr>
        <w:t>To comply with the working and safety rules, order and discipline of the institution where clinical practice is performed</w:t>
      </w:r>
      <w:r w:rsidR="00000000" w:rsidRPr="00602320">
        <w:rPr>
          <w:lang w:val="en-US" w:eastAsia="en-US" w:bidi="en-US"/>
        </w:rPr>
        <w:t>.</w:t>
      </w:r>
    </w:p>
    <w:p w14:paraId="6EB6489A" w14:textId="47D992B8" w:rsidR="00617E74" w:rsidRPr="00602320" w:rsidRDefault="00C77E5F">
      <w:pPr>
        <w:pStyle w:val="Gvdemetni0"/>
        <w:numPr>
          <w:ilvl w:val="0"/>
          <w:numId w:val="3"/>
        </w:numPr>
        <w:tabs>
          <w:tab w:val="left" w:pos="368"/>
        </w:tabs>
        <w:jc w:val="both"/>
        <w:rPr>
          <w:lang w:val="en-US"/>
        </w:rPr>
      </w:pPr>
      <w:r w:rsidRPr="00602320">
        <w:rPr>
          <w:lang w:val="en-US" w:eastAsia="en-US" w:bidi="en-US"/>
        </w:rPr>
        <w:t>To comply with the working hours of the unit where clinical practice is carried out and to sign the Student Attendance Form</w:t>
      </w:r>
      <w:r w:rsidR="00000000" w:rsidRPr="00602320">
        <w:rPr>
          <w:lang w:val="en-US" w:eastAsia="en-US" w:bidi="en-US"/>
        </w:rPr>
        <w:t>.</w:t>
      </w:r>
    </w:p>
    <w:p w14:paraId="620C3255" w14:textId="20F0D55D" w:rsidR="00617E74" w:rsidRPr="00602320" w:rsidRDefault="00C77E5F">
      <w:pPr>
        <w:pStyle w:val="Gvdemetni0"/>
        <w:numPr>
          <w:ilvl w:val="0"/>
          <w:numId w:val="3"/>
        </w:numPr>
        <w:tabs>
          <w:tab w:val="left" w:pos="382"/>
        </w:tabs>
        <w:jc w:val="both"/>
        <w:rPr>
          <w:lang w:val="en-US"/>
        </w:rPr>
      </w:pPr>
      <w:r w:rsidRPr="00602320">
        <w:rPr>
          <w:lang w:val="en-US"/>
        </w:rPr>
        <w:t>To comply with the dress code required by the profession</w:t>
      </w:r>
      <w:r w:rsidR="00000000" w:rsidRPr="00602320">
        <w:rPr>
          <w:lang w:val="en-US" w:eastAsia="en-US" w:bidi="en-US"/>
        </w:rPr>
        <w:t>.</w:t>
      </w:r>
    </w:p>
    <w:p w14:paraId="08F3C06C" w14:textId="74A7D259" w:rsidR="00617E74" w:rsidRPr="00602320" w:rsidRDefault="00C77E5F">
      <w:pPr>
        <w:pStyle w:val="Gvdemetni0"/>
        <w:numPr>
          <w:ilvl w:val="0"/>
          <w:numId w:val="3"/>
        </w:numPr>
        <w:tabs>
          <w:tab w:val="left" w:pos="368"/>
        </w:tabs>
        <w:jc w:val="both"/>
        <w:rPr>
          <w:lang w:val="en-US"/>
        </w:rPr>
      </w:pPr>
      <w:r w:rsidRPr="00602320">
        <w:rPr>
          <w:lang w:val="en-US" w:eastAsia="en-US" w:bidi="en-US"/>
        </w:rPr>
        <w:t xml:space="preserve">To fulfill the duties and responsibilities required of them in </w:t>
      </w:r>
      <w:r w:rsidR="00485F41" w:rsidRPr="00602320">
        <w:rPr>
          <w:lang w:val="en-US" w:eastAsia="en-US" w:bidi="en-US"/>
        </w:rPr>
        <w:t xml:space="preserve">the </w:t>
      </w:r>
      <w:r w:rsidRPr="00602320">
        <w:rPr>
          <w:lang w:val="en-US" w:eastAsia="en-US" w:bidi="en-US"/>
        </w:rPr>
        <w:t>clinical practice</w:t>
      </w:r>
      <w:r w:rsidR="00485F41" w:rsidRPr="00602320">
        <w:rPr>
          <w:lang w:val="en-US" w:eastAsia="en-US" w:bidi="en-US"/>
        </w:rPr>
        <w:t xml:space="preserve"> area</w:t>
      </w:r>
      <w:r w:rsidR="00000000" w:rsidRPr="00602320">
        <w:rPr>
          <w:lang w:val="en-US" w:eastAsia="en-US" w:bidi="en-US"/>
        </w:rPr>
        <w:t>.</w:t>
      </w:r>
    </w:p>
    <w:p w14:paraId="0A29A509" w14:textId="4F59D663" w:rsidR="00617E74" w:rsidRPr="00602320" w:rsidRDefault="00C77E5F">
      <w:pPr>
        <w:pStyle w:val="Gvdemetni0"/>
        <w:numPr>
          <w:ilvl w:val="0"/>
          <w:numId w:val="3"/>
        </w:numPr>
        <w:tabs>
          <w:tab w:val="left" w:pos="339"/>
        </w:tabs>
        <w:jc w:val="both"/>
        <w:rPr>
          <w:lang w:val="en-US"/>
        </w:rPr>
      </w:pPr>
      <w:r w:rsidRPr="00602320">
        <w:rPr>
          <w:lang w:val="en-US" w:eastAsia="en-US" w:bidi="en-US"/>
        </w:rPr>
        <w:t xml:space="preserve">To have good and positive relationships </w:t>
      </w:r>
      <w:r w:rsidR="00485F41" w:rsidRPr="00602320">
        <w:rPr>
          <w:lang w:val="en-US" w:eastAsia="en-US" w:bidi="en-US"/>
        </w:rPr>
        <w:t>in the clinical practice area</w:t>
      </w:r>
      <w:r w:rsidR="00000000" w:rsidRPr="00602320">
        <w:rPr>
          <w:lang w:val="en-US" w:eastAsia="en-US" w:bidi="en-US"/>
        </w:rPr>
        <w:t>.</w:t>
      </w:r>
    </w:p>
    <w:p w14:paraId="7AAD0DC7" w14:textId="671E5D28" w:rsidR="00617E74" w:rsidRPr="00602320" w:rsidRDefault="00485F41">
      <w:pPr>
        <w:pStyle w:val="Gvdemetni0"/>
        <w:numPr>
          <w:ilvl w:val="0"/>
          <w:numId w:val="3"/>
        </w:numPr>
        <w:tabs>
          <w:tab w:val="left" w:pos="382"/>
        </w:tabs>
        <w:jc w:val="both"/>
        <w:rPr>
          <w:lang w:val="en-US"/>
        </w:rPr>
      </w:pPr>
      <w:r w:rsidRPr="00602320">
        <w:rPr>
          <w:lang w:val="en-US" w:eastAsia="en-US" w:bidi="en-US"/>
        </w:rPr>
        <w:t>To be careful to use all kinds of tools and equipment in the clinical practice area</w:t>
      </w:r>
      <w:r w:rsidR="00000000" w:rsidRPr="00602320">
        <w:rPr>
          <w:lang w:val="en-US"/>
        </w:rPr>
        <w:t>.</w:t>
      </w:r>
    </w:p>
    <w:p w14:paraId="5BF67E62" w14:textId="5B2863E5" w:rsidR="00617E74" w:rsidRPr="00602320" w:rsidRDefault="00485F41">
      <w:pPr>
        <w:pStyle w:val="Gvdemetni0"/>
        <w:numPr>
          <w:ilvl w:val="0"/>
          <w:numId w:val="3"/>
        </w:numPr>
        <w:tabs>
          <w:tab w:val="left" w:pos="392"/>
        </w:tabs>
        <w:jc w:val="both"/>
        <w:rPr>
          <w:lang w:val="en-US"/>
        </w:rPr>
      </w:pPr>
      <w:r w:rsidRPr="00602320">
        <w:rPr>
          <w:lang w:val="en-US" w:eastAsia="en-US" w:bidi="en-US"/>
        </w:rPr>
        <w:t>To participate in the practice under the supervision of the clinical practice manager</w:t>
      </w:r>
      <w:r w:rsidR="00000000" w:rsidRPr="00602320">
        <w:rPr>
          <w:lang w:val="en-US"/>
        </w:rPr>
        <w:t>.</w:t>
      </w:r>
    </w:p>
    <w:p w14:paraId="1A5B4F71" w14:textId="508D4835" w:rsidR="00617E74" w:rsidRPr="00602320" w:rsidRDefault="00485F41">
      <w:pPr>
        <w:pStyle w:val="Gvdemetni0"/>
        <w:numPr>
          <w:ilvl w:val="0"/>
          <w:numId w:val="3"/>
        </w:numPr>
        <w:tabs>
          <w:tab w:val="left" w:pos="330"/>
        </w:tabs>
        <w:jc w:val="both"/>
        <w:rPr>
          <w:lang w:val="en-US"/>
        </w:rPr>
      </w:pPr>
      <w:r w:rsidRPr="00602320">
        <w:rPr>
          <w:lang w:val="en-US" w:eastAsia="en-US" w:bidi="en-US"/>
        </w:rPr>
        <w:t>Not to change the clinical practice area without the permission of the practice manager</w:t>
      </w:r>
      <w:r w:rsidR="00000000" w:rsidRPr="00602320">
        <w:rPr>
          <w:lang w:val="en-US"/>
        </w:rPr>
        <w:t>.</w:t>
      </w:r>
    </w:p>
    <w:p w14:paraId="3C0373B9" w14:textId="24B499BD" w:rsidR="00617E74" w:rsidRPr="00602320" w:rsidRDefault="00485F41">
      <w:pPr>
        <w:pStyle w:val="Gvdemetni0"/>
        <w:numPr>
          <w:ilvl w:val="0"/>
          <w:numId w:val="3"/>
        </w:numPr>
        <w:tabs>
          <w:tab w:val="left" w:pos="358"/>
        </w:tabs>
        <w:jc w:val="both"/>
        <w:rPr>
          <w:lang w:val="en-US"/>
        </w:rPr>
      </w:pPr>
      <w:r w:rsidRPr="00602320">
        <w:rPr>
          <w:lang w:val="en-US" w:eastAsia="en-US" w:bidi="en-US"/>
        </w:rPr>
        <w:t>Not to leave the clinical practice area without the permission of the practice manager</w:t>
      </w:r>
      <w:r w:rsidR="00000000" w:rsidRPr="00602320">
        <w:rPr>
          <w:lang w:val="en-US"/>
        </w:rPr>
        <w:t>.</w:t>
      </w:r>
    </w:p>
    <w:p w14:paraId="6B7B5998" w14:textId="2F8635B0" w:rsidR="00617E74" w:rsidRPr="00602320" w:rsidRDefault="00485F41">
      <w:pPr>
        <w:pStyle w:val="Gvdemetni0"/>
        <w:numPr>
          <w:ilvl w:val="0"/>
          <w:numId w:val="3"/>
        </w:numPr>
        <w:tabs>
          <w:tab w:val="left" w:pos="387"/>
        </w:tabs>
        <w:spacing w:after="260"/>
        <w:jc w:val="both"/>
        <w:rPr>
          <w:lang w:val="en-US"/>
        </w:rPr>
      </w:pPr>
      <w:r w:rsidRPr="00602320">
        <w:rPr>
          <w:lang w:val="en-US" w:eastAsia="en-US" w:bidi="en-US"/>
        </w:rPr>
        <w:t>To prepare and fill out the forms used in clinical practice and submit them to the practice manager</w:t>
      </w:r>
      <w:r w:rsidR="00000000" w:rsidRPr="00602320">
        <w:rPr>
          <w:lang w:val="en-US" w:eastAsia="en-US" w:bidi="en-US"/>
        </w:rPr>
        <w:t>.</w:t>
      </w:r>
    </w:p>
    <w:p w14:paraId="762910CE" w14:textId="37AC5DD8" w:rsidR="00617E74" w:rsidRPr="00602320" w:rsidRDefault="00597CA6">
      <w:pPr>
        <w:pStyle w:val="Gvdemetni0"/>
        <w:jc w:val="both"/>
        <w:rPr>
          <w:lang w:val="en-US"/>
        </w:rPr>
      </w:pPr>
      <w:r w:rsidRPr="00602320">
        <w:rPr>
          <w:b/>
          <w:bCs/>
          <w:lang w:val="en-US" w:eastAsia="en-US" w:bidi="en-US"/>
        </w:rPr>
        <w:t xml:space="preserve">Article </w:t>
      </w:r>
      <w:r w:rsidR="00000000" w:rsidRPr="00602320">
        <w:rPr>
          <w:b/>
          <w:bCs/>
          <w:lang w:val="en-US" w:eastAsia="en-US" w:bidi="en-US"/>
        </w:rPr>
        <w:t xml:space="preserve">8: </w:t>
      </w:r>
      <w:r w:rsidR="00815863" w:rsidRPr="00602320">
        <w:rPr>
          <w:lang w:val="en-US" w:eastAsia="en-US" w:bidi="en-US"/>
        </w:rPr>
        <w:t xml:space="preserve">The duties and responsibilities of the clinical practice </w:t>
      </w:r>
      <w:r w:rsidR="00815863" w:rsidRPr="00602320">
        <w:rPr>
          <w:lang w:val="en-US" w:eastAsia="en-US" w:bidi="en-US"/>
        </w:rPr>
        <w:t>responsible</w:t>
      </w:r>
      <w:r w:rsidR="00815863" w:rsidRPr="00602320">
        <w:rPr>
          <w:lang w:val="en-US" w:eastAsia="en-US" w:bidi="en-US"/>
        </w:rPr>
        <w:t xml:space="preserve"> are listed below</w:t>
      </w:r>
      <w:r w:rsidR="00000000" w:rsidRPr="00602320">
        <w:rPr>
          <w:lang w:val="en-US"/>
        </w:rPr>
        <w:t>.</w:t>
      </w:r>
    </w:p>
    <w:p w14:paraId="2076A0F4" w14:textId="0303463D" w:rsidR="00617E74" w:rsidRPr="00602320" w:rsidRDefault="00815863">
      <w:pPr>
        <w:pStyle w:val="Gvdemetni0"/>
        <w:numPr>
          <w:ilvl w:val="0"/>
          <w:numId w:val="4"/>
        </w:numPr>
        <w:tabs>
          <w:tab w:val="left" w:pos="368"/>
        </w:tabs>
        <w:jc w:val="both"/>
        <w:rPr>
          <w:lang w:val="en-US"/>
        </w:rPr>
      </w:pPr>
      <w:r w:rsidRPr="00602320">
        <w:rPr>
          <w:lang w:val="en-US"/>
        </w:rPr>
        <w:t>To organize plans and programs that will facilitate the student's adaptation</w:t>
      </w:r>
      <w:r w:rsidR="00000000" w:rsidRPr="00602320">
        <w:rPr>
          <w:lang w:val="en-US"/>
        </w:rPr>
        <w:t>.</w:t>
      </w:r>
    </w:p>
    <w:p w14:paraId="02097CB2" w14:textId="753CD898" w:rsidR="00617E74" w:rsidRPr="00602320" w:rsidRDefault="00815863">
      <w:pPr>
        <w:pStyle w:val="Gvdemetni0"/>
        <w:numPr>
          <w:ilvl w:val="0"/>
          <w:numId w:val="4"/>
        </w:numPr>
        <w:tabs>
          <w:tab w:val="left" w:pos="392"/>
        </w:tabs>
        <w:jc w:val="both"/>
        <w:rPr>
          <w:lang w:val="en-US"/>
        </w:rPr>
      </w:pPr>
      <w:r w:rsidRPr="00602320">
        <w:rPr>
          <w:lang w:val="en-US"/>
        </w:rPr>
        <w:t xml:space="preserve">To be in constant communication with the student and the </w:t>
      </w:r>
      <w:r w:rsidRPr="00602320">
        <w:rPr>
          <w:lang w:val="en-US"/>
        </w:rPr>
        <w:t>practice</w:t>
      </w:r>
      <w:r w:rsidRPr="00602320">
        <w:rPr>
          <w:lang w:val="en-US"/>
        </w:rPr>
        <w:t xml:space="preserve"> manager</w:t>
      </w:r>
      <w:r w:rsidR="00000000" w:rsidRPr="00602320">
        <w:rPr>
          <w:lang w:val="en-US" w:eastAsia="en-US" w:bidi="en-US"/>
        </w:rPr>
        <w:t>.</w:t>
      </w:r>
    </w:p>
    <w:p w14:paraId="41017A27" w14:textId="414CB094" w:rsidR="00617E74" w:rsidRPr="00602320" w:rsidRDefault="00815863">
      <w:pPr>
        <w:pStyle w:val="Gvdemetni0"/>
        <w:numPr>
          <w:ilvl w:val="0"/>
          <w:numId w:val="4"/>
        </w:numPr>
        <w:tabs>
          <w:tab w:val="left" w:pos="368"/>
        </w:tabs>
        <w:jc w:val="both"/>
        <w:rPr>
          <w:lang w:val="en-US"/>
        </w:rPr>
      </w:pPr>
      <w:r w:rsidRPr="00602320">
        <w:rPr>
          <w:lang w:val="en-US"/>
        </w:rPr>
        <w:t>To advise the practice manager on student guidance</w:t>
      </w:r>
      <w:r w:rsidR="00000000" w:rsidRPr="00602320">
        <w:rPr>
          <w:lang w:val="en-US" w:eastAsia="en-US" w:bidi="en-US"/>
        </w:rPr>
        <w:t>.</w:t>
      </w:r>
    </w:p>
    <w:p w14:paraId="27713F1F" w14:textId="77777777" w:rsidR="00815863" w:rsidRPr="00602320" w:rsidRDefault="00815863">
      <w:pPr>
        <w:pStyle w:val="Gvdemetni0"/>
        <w:numPr>
          <w:ilvl w:val="0"/>
          <w:numId w:val="4"/>
        </w:numPr>
        <w:tabs>
          <w:tab w:val="left" w:pos="382"/>
        </w:tabs>
        <w:jc w:val="both"/>
        <w:rPr>
          <w:lang w:val="en-US"/>
        </w:rPr>
      </w:pPr>
      <w:r w:rsidRPr="00602320">
        <w:rPr>
          <w:lang w:val="en-US" w:eastAsia="en-US" w:bidi="en-US"/>
        </w:rPr>
        <w:t>To review the clinical practice manager and student's end-of-practice evaluations</w:t>
      </w:r>
      <w:r w:rsidR="00000000" w:rsidRPr="00602320">
        <w:rPr>
          <w:lang w:val="en-US" w:eastAsia="en-US" w:bidi="en-US"/>
        </w:rPr>
        <w:t xml:space="preserve">. </w:t>
      </w:r>
    </w:p>
    <w:p w14:paraId="70B7FA91" w14:textId="6FBCE4FB" w:rsidR="00617E74" w:rsidRPr="00602320" w:rsidRDefault="00815863">
      <w:pPr>
        <w:pStyle w:val="Gvdemetni0"/>
        <w:numPr>
          <w:ilvl w:val="0"/>
          <w:numId w:val="4"/>
        </w:numPr>
        <w:tabs>
          <w:tab w:val="left" w:pos="382"/>
        </w:tabs>
        <w:jc w:val="both"/>
        <w:rPr>
          <w:lang w:val="en-US"/>
        </w:rPr>
      </w:pPr>
      <w:r w:rsidRPr="00602320">
        <w:rPr>
          <w:lang w:val="en-US" w:eastAsia="en-US" w:bidi="en-US"/>
        </w:rPr>
        <w:t>To evaluate clinical practice forms and reports and provide feedback to students</w:t>
      </w:r>
      <w:r w:rsidR="00000000" w:rsidRPr="00602320">
        <w:rPr>
          <w:lang w:val="en-US" w:eastAsia="en-US" w:bidi="en-US"/>
        </w:rPr>
        <w:t>.</w:t>
      </w:r>
    </w:p>
    <w:p w14:paraId="5D1479B2" w14:textId="782989F7" w:rsidR="00617E74" w:rsidRPr="00602320" w:rsidRDefault="00815863">
      <w:pPr>
        <w:pStyle w:val="Gvdemetni0"/>
        <w:numPr>
          <w:ilvl w:val="0"/>
          <w:numId w:val="5"/>
        </w:numPr>
        <w:tabs>
          <w:tab w:val="left" w:pos="339"/>
        </w:tabs>
        <w:jc w:val="both"/>
        <w:rPr>
          <w:lang w:val="en-US"/>
        </w:rPr>
      </w:pPr>
      <w:r w:rsidRPr="00602320">
        <w:rPr>
          <w:lang w:val="en-US"/>
        </w:rPr>
        <w:t>To provide</w:t>
      </w:r>
      <w:r w:rsidRPr="00602320">
        <w:rPr>
          <w:lang w:val="en-US"/>
        </w:rPr>
        <w:t xml:space="preserve"> feedback on clinical practice at end-of-term evaluation meetings</w:t>
      </w:r>
      <w:r w:rsidR="00000000" w:rsidRPr="00602320">
        <w:rPr>
          <w:lang w:val="en-US" w:eastAsia="en-US" w:bidi="en-US"/>
        </w:rPr>
        <w:t>.</w:t>
      </w:r>
    </w:p>
    <w:p w14:paraId="758D8697" w14:textId="3A5CE019" w:rsidR="00617E74" w:rsidRPr="00602320" w:rsidRDefault="00815863">
      <w:pPr>
        <w:pStyle w:val="Gvdemetni0"/>
        <w:numPr>
          <w:ilvl w:val="0"/>
          <w:numId w:val="5"/>
        </w:numPr>
        <w:tabs>
          <w:tab w:val="left" w:pos="387"/>
        </w:tabs>
        <w:jc w:val="both"/>
        <w:rPr>
          <w:lang w:val="en-US"/>
        </w:rPr>
      </w:pPr>
      <w:r w:rsidRPr="00602320">
        <w:rPr>
          <w:lang w:val="en-US"/>
        </w:rPr>
        <w:t xml:space="preserve">At the end of the </w:t>
      </w:r>
      <w:r w:rsidR="009B2E15">
        <w:rPr>
          <w:lang w:val="en-US"/>
        </w:rPr>
        <w:t>practice</w:t>
      </w:r>
      <w:r w:rsidRPr="00602320">
        <w:rPr>
          <w:lang w:val="en-US"/>
        </w:rPr>
        <w:t>, to examine the "Student Evaluation Form" and "Clinical Practice Forms" and to give midterm and final exam grades as described in the Third Section of this Directive, as a result of the oral, written exams, assignment, project assignments and similar evaluations deemed necessary.</w:t>
      </w:r>
    </w:p>
    <w:p w14:paraId="51714265" w14:textId="0F7CBF67" w:rsidR="00617E74" w:rsidRPr="00602320" w:rsidRDefault="00815863">
      <w:pPr>
        <w:pStyle w:val="Gvdemetni0"/>
        <w:numPr>
          <w:ilvl w:val="0"/>
          <w:numId w:val="5"/>
        </w:numPr>
        <w:tabs>
          <w:tab w:val="left" w:pos="392"/>
        </w:tabs>
        <w:spacing w:after="260"/>
        <w:jc w:val="both"/>
        <w:rPr>
          <w:lang w:val="en-US"/>
        </w:rPr>
      </w:pPr>
      <w:r w:rsidRPr="00602320">
        <w:rPr>
          <w:lang w:val="en-US"/>
        </w:rPr>
        <w:t>To organize make-up programs for students whose excuses for absence are accepted</w:t>
      </w:r>
      <w:r w:rsidR="00000000" w:rsidRPr="00602320">
        <w:rPr>
          <w:lang w:val="en-US" w:eastAsia="en-US" w:bidi="en-US"/>
        </w:rPr>
        <w:t>.</w:t>
      </w:r>
    </w:p>
    <w:p w14:paraId="010CFA22" w14:textId="02984070" w:rsidR="00617E74" w:rsidRPr="00602320" w:rsidRDefault="00597CA6">
      <w:pPr>
        <w:pStyle w:val="Gvdemetni0"/>
        <w:jc w:val="both"/>
        <w:rPr>
          <w:lang w:val="en-US"/>
        </w:rPr>
      </w:pPr>
      <w:r w:rsidRPr="00602320">
        <w:rPr>
          <w:b/>
          <w:bCs/>
          <w:lang w:val="en-US" w:eastAsia="en-US" w:bidi="en-US"/>
        </w:rPr>
        <w:t xml:space="preserve">Article </w:t>
      </w:r>
      <w:r w:rsidR="00000000" w:rsidRPr="00602320">
        <w:rPr>
          <w:b/>
          <w:bCs/>
          <w:lang w:val="en-US" w:eastAsia="en-US" w:bidi="en-US"/>
        </w:rPr>
        <w:t xml:space="preserve">9: </w:t>
      </w:r>
      <w:r w:rsidR="008A04E6" w:rsidRPr="00602320">
        <w:rPr>
          <w:lang w:val="en-US" w:eastAsia="en-US" w:bidi="en-US"/>
        </w:rPr>
        <w:t>The duties and responsibilities of the clinical practice manager are listed below</w:t>
      </w:r>
      <w:r w:rsidR="00000000" w:rsidRPr="00602320">
        <w:rPr>
          <w:lang w:val="en-US"/>
        </w:rPr>
        <w:t>.</w:t>
      </w:r>
    </w:p>
    <w:p w14:paraId="69E48ADE" w14:textId="09334210" w:rsidR="00617E74" w:rsidRPr="00602320" w:rsidRDefault="008A04E6">
      <w:pPr>
        <w:pStyle w:val="Gvdemetni0"/>
        <w:numPr>
          <w:ilvl w:val="0"/>
          <w:numId w:val="6"/>
        </w:numPr>
        <w:tabs>
          <w:tab w:val="left" w:pos="368"/>
        </w:tabs>
        <w:jc w:val="both"/>
        <w:rPr>
          <w:lang w:val="en-US"/>
        </w:rPr>
      </w:pPr>
      <w:r w:rsidRPr="00602320">
        <w:rPr>
          <w:lang w:val="en-US"/>
        </w:rPr>
        <w:t>To ensure the adaptation of the student to the clinical practice area</w:t>
      </w:r>
      <w:r w:rsidR="00000000" w:rsidRPr="00602320">
        <w:rPr>
          <w:lang w:val="en-US"/>
        </w:rPr>
        <w:t>.</w:t>
      </w:r>
    </w:p>
    <w:p w14:paraId="7FB06068" w14:textId="13A02A76" w:rsidR="00617E74" w:rsidRPr="00602320" w:rsidRDefault="008A04E6">
      <w:pPr>
        <w:pStyle w:val="Gvdemetni0"/>
        <w:numPr>
          <w:ilvl w:val="0"/>
          <w:numId w:val="6"/>
        </w:numPr>
        <w:tabs>
          <w:tab w:val="left" w:pos="392"/>
        </w:tabs>
        <w:jc w:val="both"/>
        <w:rPr>
          <w:lang w:val="en-US"/>
        </w:rPr>
      </w:pPr>
      <w:r w:rsidRPr="00602320">
        <w:rPr>
          <w:lang w:val="en-US"/>
        </w:rPr>
        <w:t>To h</w:t>
      </w:r>
      <w:r w:rsidRPr="00602320">
        <w:rPr>
          <w:lang w:val="en-US"/>
        </w:rPr>
        <w:t>elp the student develop achievable goals</w:t>
      </w:r>
      <w:r w:rsidR="00000000" w:rsidRPr="00602320">
        <w:rPr>
          <w:lang w:val="en-US" w:eastAsia="en-US" w:bidi="en-US"/>
        </w:rPr>
        <w:t>.</w:t>
      </w:r>
    </w:p>
    <w:p w14:paraId="2C6F6174" w14:textId="52AAAD8D" w:rsidR="00617E74" w:rsidRPr="00602320" w:rsidRDefault="008A04E6">
      <w:pPr>
        <w:pStyle w:val="Gvdemetni0"/>
        <w:numPr>
          <w:ilvl w:val="0"/>
          <w:numId w:val="6"/>
        </w:numPr>
        <w:tabs>
          <w:tab w:val="left" w:pos="368"/>
        </w:tabs>
        <w:jc w:val="both"/>
        <w:rPr>
          <w:lang w:val="en-US"/>
        </w:rPr>
      </w:pPr>
      <w:r w:rsidRPr="00602320">
        <w:rPr>
          <w:lang w:val="en-US"/>
        </w:rPr>
        <w:t>To provide learning opportunities to students</w:t>
      </w:r>
      <w:r w:rsidR="00000000" w:rsidRPr="00602320">
        <w:rPr>
          <w:lang w:val="en-US"/>
        </w:rPr>
        <w:t>.</w:t>
      </w:r>
    </w:p>
    <w:p w14:paraId="47FA79BB" w14:textId="20948A47" w:rsidR="00617E74" w:rsidRPr="00602320" w:rsidRDefault="008A04E6">
      <w:pPr>
        <w:pStyle w:val="Gvdemetni0"/>
        <w:numPr>
          <w:ilvl w:val="0"/>
          <w:numId w:val="6"/>
        </w:numPr>
        <w:tabs>
          <w:tab w:val="left" w:pos="382"/>
        </w:tabs>
        <w:spacing w:after="260"/>
        <w:jc w:val="both"/>
        <w:rPr>
          <w:lang w:val="en-US"/>
        </w:rPr>
      </w:pPr>
      <w:r w:rsidRPr="00602320">
        <w:rPr>
          <w:lang w:val="en-US" w:eastAsia="en-US" w:bidi="en-US"/>
        </w:rPr>
        <w:t>To be a role model, guide, observe and supervise in clinical practices</w:t>
      </w:r>
      <w:r w:rsidR="00000000" w:rsidRPr="00602320">
        <w:rPr>
          <w:lang w:val="en-US" w:eastAsia="en-US" w:bidi="en-US"/>
        </w:rPr>
        <w:t>.</w:t>
      </w:r>
    </w:p>
    <w:p w14:paraId="7CCEEDB7" w14:textId="77777777" w:rsidR="008A04E6" w:rsidRPr="00602320" w:rsidRDefault="008A04E6" w:rsidP="008A04E6">
      <w:pPr>
        <w:pStyle w:val="Gvdemetni0"/>
        <w:tabs>
          <w:tab w:val="left" w:pos="382"/>
        </w:tabs>
        <w:spacing w:after="260"/>
        <w:jc w:val="both"/>
        <w:rPr>
          <w:lang w:val="en-US"/>
        </w:rPr>
      </w:pPr>
    </w:p>
    <w:p w14:paraId="6F1CC58F" w14:textId="6803DF31" w:rsidR="00617E74" w:rsidRPr="00602320" w:rsidRDefault="008A04E6">
      <w:pPr>
        <w:pStyle w:val="Gvdemetni0"/>
        <w:numPr>
          <w:ilvl w:val="0"/>
          <w:numId w:val="6"/>
        </w:numPr>
        <w:tabs>
          <w:tab w:val="left" w:pos="368"/>
        </w:tabs>
        <w:jc w:val="both"/>
        <w:rPr>
          <w:lang w:val="en-US"/>
        </w:rPr>
      </w:pPr>
      <w:r w:rsidRPr="00602320">
        <w:rPr>
          <w:lang w:val="en-US" w:eastAsia="en-US" w:bidi="en-US"/>
        </w:rPr>
        <w:t>To provide feedback on student performance in the field of clinical practice</w:t>
      </w:r>
      <w:r w:rsidR="00000000" w:rsidRPr="00602320">
        <w:rPr>
          <w:lang w:val="en-US" w:eastAsia="en-US" w:bidi="en-US"/>
        </w:rPr>
        <w:t>.</w:t>
      </w:r>
    </w:p>
    <w:p w14:paraId="3DD3FBDB" w14:textId="3CCBF4C6" w:rsidR="00617E74" w:rsidRPr="00602320" w:rsidRDefault="008A04E6">
      <w:pPr>
        <w:pStyle w:val="Gvdemetni0"/>
        <w:numPr>
          <w:ilvl w:val="0"/>
          <w:numId w:val="6"/>
        </w:numPr>
        <w:tabs>
          <w:tab w:val="left" w:pos="339"/>
        </w:tabs>
        <w:jc w:val="both"/>
        <w:rPr>
          <w:lang w:val="en-US"/>
        </w:rPr>
      </w:pPr>
      <w:r w:rsidRPr="00602320">
        <w:rPr>
          <w:lang w:val="en-US"/>
        </w:rPr>
        <w:t>To provide the student with visits, case presentations and training in the field of clinical practice</w:t>
      </w:r>
      <w:r w:rsidR="00000000" w:rsidRPr="00602320">
        <w:rPr>
          <w:lang w:val="en-US"/>
        </w:rPr>
        <w:t>.</w:t>
      </w:r>
    </w:p>
    <w:p w14:paraId="0871D29C" w14:textId="13B5DA4A" w:rsidR="00617E74" w:rsidRPr="00602320" w:rsidRDefault="008A04E6">
      <w:pPr>
        <w:pStyle w:val="Gvdemetni0"/>
        <w:numPr>
          <w:ilvl w:val="0"/>
          <w:numId w:val="6"/>
        </w:numPr>
        <w:tabs>
          <w:tab w:val="left" w:pos="382"/>
        </w:tabs>
        <w:spacing w:after="260"/>
        <w:jc w:val="both"/>
        <w:rPr>
          <w:lang w:val="en-US"/>
        </w:rPr>
      </w:pPr>
      <w:r w:rsidRPr="00602320">
        <w:rPr>
          <w:lang w:val="en-US"/>
        </w:rPr>
        <w:t>To fill</w:t>
      </w:r>
      <w:r w:rsidRPr="00602320">
        <w:rPr>
          <w:lang w:val="en-US"/>
        </w:rPr>
        <w:t xml:space="preserve"> out the Student Evaluation Form and submitting it to the </w:t>
      </w:r>
      <w:r w:rsidR="009B2E15">
        <w:rPr>
          <w:lang w:val="en-US"/>
        </w:rPr>
        <w:t>practice responsible</w:t>
      </w:r>
      <w:r w:rsidR="00000000" w:rsidRPr="00602320">
        <w:rPr>
          <w:lang w:val="en-US" w:eastAsia="en-US" w:bidi="en-US"/>
        </w:rPr>
        <w:t>.</w:t>
      </w:r>
    </w:p>
    <w:p w14:paraId="11A95A2E" w14:textId="0ED28A71" w:rsidR="00617E74" w:rsidRPr="00602320" w:rsidRDefault="00680020">
      <w:pPr>
        <w:pStyle w:val="Gvdemetni0"/>
        <w:jc w:val="center"/>
        <w:rPr>
          <w:lang w:val="en-US"/>
        </w:rPr>
      </w:pPr>
      <w:r w:rsidRPr="00602320">
        <w:rPr>
          <w:b/>
          <w:bCs/>
          <w:lang w:val="en-US"/>
        </w:rPr>
        <w:t>PART THREE</w:t>
      </w:r>
    </w:p>
    <w:p w14:paraId="28F55055" w14:textId="405224E5" w:rsidR="00617E74" w:rsidRPr="00602320" w:rsidRDefault="00035E1B">
      <w:pPr>
        <w:pStyle w:val="Balk10"/>
        <w:keepNext/>
        <w:keepLines/>
        <w:rPr>
          <w:lang w:val="en-US"/>
        </w:rPr>
      </w:pPr>
      <w:r w:rsidRPr="00602320">
        <w:rPr>
          <w:lang w:val="en-US"/>
        </w:rPr>
        <w:t xml:space="preserve">Evaluation of the </w:t>
      </w:r>
      <w:r w:rsidR="00F43D76" w:rsidRPr="00602320">
        <w:rPr>
          <w:lang w:val="en-US"/>
        </w:rPr>
        <w:t>Practice</w:t>
      </w:r>
    </w:p>
    <w:p w14:paraId="66179A81" w14:textId="37D5CBB7" w:rsidR="00617E74" w:rsidRPr="00602320" w:rsidRDefault="00597CA6">
      <w:pPr>
        <w:pStyle w:val="Gvdemetni0"/>
        <w:jc w:val="both"/>
        <w:rPr>
          <w:lang w:val="en-US"/>
        </w:rPr>
      </w:pPr>
      <w:r w:rsidRPr="00602320">
        <w:rPr>
          <w:b/>
          <w:bCs/>
          <w:lang w:val="en-US" w:eastAsia="en-US" w:bidi="en-US"/>
        </w:rPr>
        <w:t xml:space="preserve">Article </w:t>
      </w:r>
      <w:r w:rsidR="00000000" w:rsidRPr="00602320">
        <w:rPr>
          <w:b/>
          <w:bCs/>
          <w:lang w:val="en-US" w:eastAsia="en-US" w:bidi="en-US"/>
        </w:rPr>
        <w:t xml:space="preserve">10: </w:t>
      </w:r>
      <w:r w:rsidR="00035E1B" w:rsidRPr="00602320">
        <w:rPr>
          <w:lang w:val="en-US" w:eastAsia="en-US" w:bidi="en-US"/>
        </w:rPr>
        <w:t>The evaluation of clinical practice is done as follows.</w:t>
      </w:r>
    </w:p>
    <w:p w14:paraId="328F2799" w14:textId="3657A090" w:rsidR="00617E74" w:rsidRPr="00602320" w:rsidRDefault="00035E1B">
      <w:pPr>
        <w:pStyle w:val="Gvdemetni0"/>
        <w:numPr>
          <w:ilvl w:val="0"/>
          <w:numId w:val="7"/>
        </w:numPr>
        <w:tabs>
          <w:tab w:val="left" w:pos="378"/>
        </w:tabs>
        <w:jc w:val="both"/>
        <w:rPr>
          <w:lang w:val="en-US"/>
        </w:rPr>
      </w:pPr>
      <w:r w:rsidRPr="00602320">
        <w:rPr>
          <w:lang w:val="en-US"/>
        </w:rPr>
        <w:t>Students are supervised and evaluated by the clinical practice director in terms of theoretical knowledge, practical skills, responsibility, work discipline, performance, communication and continuity in their clinical practice studies.</w:t>
      </w:r>
      <w:r w:rsidRPr="00602320">
        <w:rPr>
          <w:lang w:val="en-US"/>
        </w:rPr>
        <w:t xml:space="preserve"> </w:t>
      </w:r>
      <w:r w:rsidRPr="00602320">
        <w:rPr>
          <w:lang w:val="en-US"/>
        </w:rPr>
        <w:t xml:space="preserve">The result is recorded on the “student evaluation form” and delivered to the </w:t>
      </w:r>
      <w:r w:rsidR="009B2E15">
        <w:rPr>
          <w:lang w:val="en-US"/>
        </w:rPr>
        <w:t>practice</w:t>
      </w:r>
      <w:r w:rsidRPr="00602320">
        <w:rPr>
          <w:lang w:val="en-US"/>
        </w:rPr>
        <w:t xml:space="preserve"> </w:t>
      </w:r>
      <w:r w:rsidRPr="00602320">
        <w:rPr>
          <w:lang w:val="en-US"/>
        </w:rPr>
        <w:t>responsible</w:t>
      </w:r>
      <w:r w:rsidRPr="00602320">
        <w:rPr>
          <w:lang w:val="en-US"/>
        </w:rPr>
        <w:t xml:space="preserve"> in a sealed envelope</w:t>
      </w:r>
      <w:r w:rsidR="00000000" w:rsidRPr="00602320">
        <w:rPr>
          <w:lang w:val="en-US" w:eastAsia="en-US" w:bidi="en-US"/>
        </w:rPr>
        <w:t>.</w:t>
      </w:r>
    </w:p>
    <w:p w14:paraId="38EEDF2A" w14:textId="7384BE7B" w:rsidR="00617E74" w:rsidRPr="00602320" w:rsidRDefault="00035E1B">
      <w:pPr>
        <w:pStyle w:val="Gvdemetni0"/>
        <w:numPr>
          <w:ilvl w:val="0"/>
          <w:numId w:val="7"/>
        </w:numPr>
        <w:tabs>
          <w:tab w:val="left" w:pos="392"/>
        </w:tabs>
        <w:jc w:val="both"/>
        <w:rPr>
          <w:lang w:val="en-US"/>
        </w:rPr>
      </w:pPr>
      <w:r w:rsidRPr="00602320">
        <w:rPr>
          <w:lang w:val="en-US"/>
        </w:rPr>
        <w:t>Students prepare the forms they use for their practice and submit them to the clinical practice manager</w:t>
      </w:r>
      <w:r w:rsidR="00000000" w:rsidRPr="00602320">
        <w:rPr>
          <w:lang w:val="en-US" w:eastAsia="en-US" w:bidi="en-US"/>
        </w:rPr>
        <w:t>.</w:t>
      </w:r>
    </w:p>
    <w:p w14:paraId="3EF42C25" w14:textId="2422C50F" w:rsidR="00617E74" w:rsidRPr="00602320" w:rsidRDefault="00035E1B">
      <w:pPr>
        <w:pStyle w:val="Gvdemetni0"/>
        <w:numPr>
          <w:ilvl w:val="0"/>
          <w:numId w:val="7"/>
        </w:numPr>
        <w:tabs>
          <w:tab w:val="left" w:pos="368"/>
        </w:tabs>
        <w:jc w:val="both"/>
        <w:rPr>
          <w:lang w:val="en-US"/>
        </w:rPr>
      </w:pPr>
      <w:r w:rsidRPr="00602320">
        <w:rPr>
          <w:lang w:val="en-US" w:eastAsia="en-US" w:bidi="en-US"/>
        </w:rPr>
        <w:t>Clinical practice forms are evaluated and a midterm exam grade is given. The overall exam grade is given by evaluating the “Student Evaluation Form” and additional exams deemed necessary.</w:t>
      </w:r>
    </w:p>
    <w:p w14:paraId="384E51C5" w14:textId="0F835943" w:rsidR="00617E74" w:rsidRPr="00602320" w:rsidRDefault="00035E1B">
      <w:pPr>
        <w:pStyle w:val="Gvdemetni0"/>
        <w:numPr>
          <w:ilvl w:val="0"/>
          <w:numId w:val="7"/>
        </w:numPr>
        <w:tabs>
          <w:tab w:val="left" w:pos="392"/>
        </w:tabs>
        <w:spacing w:after="260"/>
        <w:jc w:val="both"/>
        <w:rPr>
          <w:lang w:val="en-US"/>
        </w:rPr>
      </w:pPr>
      <w:r w:rsidRPr="00602320">
        <w:rPr>
          <w:lang w:val="en-US"/>
        </w:rPr>
        <w:t>Students may object to material errors within 5 working days after the exam results are duly announced</w:t>
      </w:r>
      <w:r w:rsidR="00000000" w:rsidRPr="00602320">
        <w:rPr>
          <w:lang w:val="en-US" w:eastAsia="en-US" w:bidi="en-US"/>
        </w:rPr>
        <w:t>.</w:t>
      </w:r>
    </w:p>
    <w:p w14:paraId="2FA3D39A" w14:textId="518D51FE" w:rsidR="00617E74" w:rsidRPr="00602320" w:rsidRDefault="00D24CF8">
      <w:pPr>
        <w:pStyle w:val="Gvdemetni0"/>
        <w:jc w:val="center"/>
        <w:rPr>
          <w:lang w:val="en-US"/>
        </w:rPr>
      </w:pPr>
      <w:r w:rsidRPr="00602320">
        <w:rPr>
          <w:b/>
          <w:bCs/>
          <w:lang w:val="en-US"/>
        </w:rPr>
        <w:t>PART FOUR</w:t>
      </w:r>
    </w:p>
    <w:p w14:paraId="3AF9770A" w14:textId="6C11C68F" w:rsidR="00617E74" w:rsidRPr="00602320" w:rsidRDefault="00F43D76">
      <w:pPr>
        <w:pStyle w:val="Balk10"/>
        <w:keepNext/>
        <w:keepLines/>
        <w:rPr>
          <w:lang w:val="en-US"/>
        </w:rPr>
      </w:pPr>
      <w:bookmarkStart w:id="1" w:name="bookmark12"/>
      <w:r w:rsidRPr="00602320">
        <w:rPr>
          <w:lang w:val="en-US" w:eastAsia="en-US" w:bidi="en-US"/>
        </w:rPr>
        <w:t>Practice Duration</w:t>
      </w:r>
      <w:r w:rsidR="00D24CF8" w:rsidRPr="00602320">
        <w:rPr>
          <w:lang w:val="en-US" w:eastAsia="en-US" w:bidi="en-US"/>
        </w:rPr>
        <w:t xml:space="preserve"> and Conditions</w:t>
      </w:r>
      <w:r w:rsidR="00D24CF8" w:rsidRPr="00602320">
        <w:rPr>
          <w:lang w:val="en-US" w:eastAsia="en-US" w:bidi="en-US"/>
        </w:rPr>
        <w:t xml:space="preserve"> </w:t>
      </w:r>
      <w:bookmarkEnd w:id="1"/>
    </w:p>
    <w:p w14:paraId="7D5A275F" w14:textId="77777777" w:rsidR="00D24CF8" w:rsidRPr="00602320" w:rsidRDefault="00597CA6">
      <w:pPr>
        <w:pStyle w:val="Gvdemetni0"/>
        <w:jc w:val="both"/>
        <w:rPr>
          <w:lang w:val="en-US" w:eastAsia="en-US" w:bidi="en-US"/>
        </w:rPr>
      </w:pPr>
      <w:r w:rsidRPr="00602320">
        <w:rPr>
          <w:b/>
          <w:bCs/>
          <w:lang w:val="en-US" w:eastAsia="en-US" w:bidi="en-US"/>
        </w:rPr>
        <w:t xml:space="preserve">Article </w:t>
      </w:r>
      <w:r w:rsidR="00000000" w:rsidRPr="00602320">
        <w:rPr>
          <w:b/>
          <w:bCs/>
          <w:lang w:val="en-US" w:eastAsia="en-US" w:bidi="en-US"/>
        </w:rPr>
        <w:t xml:space="preserve">11: </w:t>
      </w:r>
      <w:r w:rsidR="00D24CF8" w:rsidRPr="00602320">
        <w:rPr>
          <w:lang w:val="en-US" w:eastAsia="en-US" w:bidi="en-US"/>
        </w:rPr>
        <w:t>Clinical practice periods are announced at the beginning of the academic year.</w:t>
      </w:r>
    </w:p>
    <w:p w14:paraId="52678D19" w14:textId="214B8F7A" w:rsidR="00617E74" w:rsidRPr="00602320" w:rsidRDefault="00D24CF8">
      <w:pPr>
        <w:pStyle w:val="Gvdemetni0"/>
        <w:jc w:val="both"/>
        <w:rPr>
          <w:lang w:val="en-US"/>
        </w:rPr>
      </w:pPr>
      <w:r w:rsidRPr="00602320">
        <w:rPr>
          <w:lang w:val="en-US" w:eastAsia="en-US" w:bidi="en-US"/>
        </w:rPr>
        <w:t>The provisions of the "Fenerbahçe University Undergraduate Education and Exam Regulation" are valid regarding compulsory attendance.</w:t>
      </w:r>
    </w:p>
    <w:p w14:paraId="699CCB07" w14:textId="3F0CF2EB" w:rsidR="00617E74" w:rsidRPr="00602320" w:rsidRDefault="00D24CF8">
      <w:pPr>
        <w:pStyle w:val="Gvdemetni0"/>
        <w:spacing w:after="540"/>
        <w:jc w:val="both"/>
        <w:rPr>
          <w:lang w:val="en-US"/>
        </w:rPr>
      </w:pPr>
      <w:r w:rsidRPr="00602320">
        <w:rPr>
          <w:lang w:val="en-US"/>
        </w:rPr>
        <w:t>Repeating professional practice courses that the student has failed by fulfilling the attendance requirements is subject to the decision of the department board</w:t>
      </w:r>
      <w:r w:rsidR="00000000" w:rsidRPr="00602320">
        <w:rPr>
          <w:lang w:val="en-US"/>
        </w:rPr>
        <w:t>.</w:t>
      </w:r>
    </w:p>
    <w:p w14:paraId="3F25A84E" w14:textId="543223F9" w:rsidR="00617E74" w:rsidRPr="00602320" w:rsidRDefault="00597CA6">
      <w:pPr>
        <w:pStyle w:val="Gvdemetni0"/>
        <w:jc w:val="center"/>
        <w:rPr>
          <w:lang w:val="en-US"/>
        </w:rPr>
      </w:pPr>
      <w:r w:rsidRPr="00602320">
        <w:rPr>
          <w:b/>
          <w:bCs/>
          <w:lang w:val="en-US"/>
        </w:rPr>
        <w:t>PART FOUR</w:t>
      </w:r>
    </w:p>
    <w:p w14:paraId="22B68D3B" w14:textId="4183F8F3" w:rsidR="00617E74" w:rsidRPr="00602320" w:rsidRDefault="00597CA6">
      <w:pPr>
        <w:pStyle w:val="Balk10"/>
        <w:keepNext/>
        <w:keepLines/>
        <w:spacing w:after="540"/>
        <w:rPr>
          <w:lang w:val="en-US"/>
        </w:rPr>
      </w:pPr>
      <w:r w:rsidRPr="00602320">
        <w:rPr>
          <w:lang w:val="en-US"/>
        </w:rPr>
        <w:t>Final Provisions</w:t>
      </w:r>
    </w:p>
    <w:p w14:paraId="5054E28E" w14:textId="69F6E3E5" w:rsidR="00617E74" w:rsidRPr="00602320" w:rsidRDefault="00597CA6">
      <w:pPr>
        <w:pStyle w:val="Gvdemetni0"/>
        <w:spacing w:after="260"/>
        <w:jc w:val="both"/>
        <w:rPr>
          <w:lang w:val="en-US"/>
        </w:rPr>
      </w:pPr>
      <w:r w:rsidRPr="00602320">
        <w:rPr>
          <w:b/>
          <w:bCs/>
          <w:lang w:val="en-US" w:eastAsia="en-US" w:bidi="en-US"/>
        </w:rPr>
        <w:t xml:space="preserve">Article </w:t>
      </w:r>
      <w:r w:rsidR="00000000" w:rsidRPr="00602320">
        <w:rPr>
          <w:b/>
          <w:bCs/>
          <w:lang w:val="en-US" w:eastAsia="en-US" w:bidi="en-US"/>
        </w:rPr>
        <w:t xml:space="preserve">12: </w:t>
      </w:r>
      <w:r w:rsidRPr="00602320">
        <w:rPr>
          <w:lang w:val="en-US" w:eastAsia="en-US" w:bidi="en-US"/>
        </w:rPr>
        <w:t>For matters not included in this Directive, the provisions of the relevant legislation regarding the "Fenerbahçe University Undergraduate Education and Exam</w:t>
      </w:r>
      <w:r w:rsidRPr="00602320">
        <w:rPr>
          <w:lang w:val="en-US" w:eastAsia="en-US" w:bidi="en-US"/>
        </w:rPr>
        <w:t xml:space="preserve"> </w:t>
      </w:r>
      <w:r w:rsidRPr="00602320">
        <w:rPr>
          <w:lang w:val="en-US" w:eastAsia="en-US" w:bidi="en-US"/>
        </w:rPr>
        <w:t>Regulation" are valid</w:t>
      </w:r>
      <w:r w:rsidR="00000000" w:rsidRPr="00602320">
        <w:rPr>
          <w:lang w:val="en-US"/>
        </w:rPr>
        <w:t>.</w:t>
      </w:r>
    </w:p>
    <w:p w14:paraId="63843E6C" w14:textId="75DE9DC0" w:rsidR="00617E74" w:rsidRPr="00602320" w:rsidRDefault="00597CA6">
      <w:pPr>
        <w:pStyle w:val="Gvdemetni0"/>
        <w:spacing w:after="260"/>
        <w:jc w:val="both"/>
        <w:rPr>
          <w:lang w:val="en-US"/>
        </w:rPr>
      </w:pPr>
      <w:r w:rsidRPr="00602320">
        <w:rPr>
          <w:b/>
          <w:bCs/>
          <w:lang w:val="en-US" w:eastAsia="en-US" w:bidi="en-US"/>
        </w:rPr>
        <w:t xml:space="preserve">Article </w:t>
      </w:r>
      <w:r w:rsidR="00000000" w:rsidRPr="00602320">
        <w:rPr>
          <w:b/>
          <w:bCs/>
          <w:lang w:val="en-US" w:eastAsia="en-US" w:bidi="en-US"/>
        </w:rPr>
        <w:t xml:space="preserve">13: </w:t>
      </w:r>
      <w:r w:rsidRPr="00602320">
        <w:rPr>
          <w:lang w:val="en-US" w:eastAsia="en-US" w:bidi="en-US"/>
        </w:rPr>
        <w:t>This Directive shall be implemented starting from the 2019-2020 academic year</w:t>
      </w:r>
      <w:r w:rsidR="00000000" w:rsidRPr="00602320">
        <w:rPr>
          <w:lang w:val="en-US"/>
        </w:rPr>
        <w:t>.</w:t>
      </w:r>
    </w:p>
    <w:p w14:paraId="635B9118" w14:textId="3AACD5EC" w:rsidR="00617E74" w:rsidRPr="00602320" w:rsidRDefault="00597CA6">
      <w:pPr>
        <w:pStyle w:val="Gvdemetni0"/>
        <w:spacing w:after="260"/>
        <w:jc w:val="both"/>
        <w:rPr>
          <w:lang w:val="en-US"/>
        </w:rPr>
      </w:pPr>
      <w:r w:rsidRPr="00602320">
        <w:rPr>
          <w:b/>
          <w:bCs/>
          <w:lang w:val="en-US" w:eastAsia="en-US" w:bidi="en-US"/>
        </w:rPr>
        <w:t xml:space="preserve">Article </w:t>
      </w:r>
      <w:r w:rsidR="00000000" w:rsidRPr="00602320">
        <w:rPr>
          <w:b/>
          <w:bCs/>
          <w:lang w:val="en-US" w:eastAsia="en-US" w:bidi="en-US"/>
        </w:rPr>
        <w:t xml:space="preserve">14: </w:t>
      </w:r>
      <w:r w:rsidRPr="00602320">
        <w:rPr>
          <w:lang w:val="en-US" w:eastAsia="en-US" w:bidi="en-US"/>
        </w:rPr>
        <w:t>The provisions of this Directive are implemented by the Fenerbahçe University Rectorate</w:t>
      </w:r>
      <w:r w:rsidR="00000000" w:rsidRPr="00602320">
        <w:rPr>
          <w:lang w:val="en-US"/>
        </w:rPr>
        <w:t>.</w:t>
      </w:r>
    </w:p>
    <w:sectPr w:rsidR="00617E74" w:rsidRPr="00602320">
      <w:headerReference w:type="default" r:id="rId7"/>
      <w:pgSz w:w="11909" w:h="16840"/>
      <w:pgMar w:top="1419" w:right="1393" w:bottom="1587" w:left="1371" w:header="0" w:footer="115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EE90B" w14:textId="77777777" w:rsidR="00073202" w:rsidRDefault="00073202">
      <w:r>
        <w:separator/>
      </w:r>
    </w:p>
  </w:endnote>
  <w:endnote w:type="continuationSeparator" w:id="0">
    <w:p w14:paraId="38A93177" w14:textId="77777777" w:rsidR="00073202" w:rsidRDefault="0007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F279" w14:textId="77777777" w:rsidR="00073202" w:rsidRDefault="00073202"/>
  </w:footnote>
  <w:footnote w:type="continuationSeparator" w:id="0">
    <w:p w14:paraId="59E95792" w14:textId="77777777" w:rsidR="00073202" w:rsidRDefault="00073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C2FA" w14:textId="77777777" w:rsidR="00617E74" w:rsidRDefault="00000000">
    <w:pPr>
      <w:spacing w:line="1" w:lineRule="exact"/>
    </w:pPr>
    <w:r>
      <w:rPr>
        <w:noProof/>
      </w:rPr>
      <mc:AlternateContent>
        <mc:Choice Requires="wps">
          <w:drawing>
            <wp:anchor distT="0" distB="0" distL="0" distR="0" simplePos="0" relativeHeight="62914690" behindDoc="1" locked="0" layoutInCell="1" allowOverlap="1" wp14:anchorId="2FFCC57E" wp14:editId="0F3139BC">
              <wp:simplePos x="0" y="0"/>
              <wp:positionH relativeFrom="page">
                <wp:posOffset>4768850</wp:posOffset>
              </wp:positionH>
              <wp:positionV relativeFrom="page">
                <wp:posOffset>486410</wp:posOffset>
              </wp:positionV>
              <wp:extent cx="188341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1883410" cy="97790"/>
                      </a:xfrm>
                      <a:prstGeom prst="rect">
                        <a:avLst/>
                      </a:prstGeom>
                      <a:noFill/>
                    </wps:spPr>
                    <wps:txbx>
                      <w:txbxContent>
                        <w:p w14:paraId="6E80954B" w14:textId="6537B053" w:rsidR="00617E74" w:rsidRDefault="002E1355">
                          <w:pPr>
                            <w:pStyle w:val="stbilgiveyaaltbilgi20"/>
                            <w:rPr>
                              <w:sz w:val="22"/>
                              <w:szCs w:val="22"/>
                            </w:rPr>
                          </w:pPr>
                          <w:r>
                            <w:rPr>
                              <w:b/>
                              <w:bCs/>
                              <w:sz w:val="22"/>
                              <w:szCs w:val="22"/>
                            </w:rPr>
                            <w:t>SENATE DECISION</w:t>
                          </w:r>
                          <w:r w:rsidR="00000000">
                            <w:rPr>
                              <w:b/>
                              <w:bCs/>
                              <w:sz w:val="22"/>
                              <w:szCs w:val="22"/>
                            </w:rPr>
                            <w:t>: 2020/03/09</w:t>
                          </w:r>
                        </w:p>
                      </w:txbxContent>
                    </wps:txbx>
                    <wps:bodyPr wrap="none" lIns="0" tIns="0" rIns="0" bIns="0">
                      <a:spAutoFit/>
                    </wps:bodyPr>
                  </wps:wsp>
                </a:graphicData>
              </a:graphic>
            </wp:anchor>
          </w:drawing>
        </mc:Choice>
        <mc:Fallback>
          <w:pict>
            <v:shapetype w14:anchorId="2FFCC57E" id="_x0000_t202" coordsize="21600,21600" o:spt="202" path="m,l,21600r21600,l21600,xe">
              <v:stroke joinstyle="miter"/>
              <v:path gradientshapeok="t" o:connecttype="rect"/>
            </v:shapetype>
            <v:shape id="Shape 1" o:spid="_x0000_s1026" type="#_x0000_t202" style="position:absolute;margin-left:375.5pt;margin-top:38.3pt;width:148.3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" filled="f" stroked="f">
              <v:textbox style="mso-fit-shape-to-text:t" inset="0,0,0,0">
                <w:txbxContent>
                  <w:p w14:paraId="6E80954B" w14:textId="6537B053" w:rsidR="00617E74" w:rsidRDefault="002E1355">
                    <w:pPr>
                      <w:pStyle w:val="stbilgiveyaaltbilgi20"/>
                      <w:rPr>
                        <w:sz w:val="22"/>
                        <w:szCs w:val="22"/>
                      </w:rPr>
                    </w:pPr>
                    <w:r>
                      <w:rPr>
                        <w:b/>
                        <w:bCs/>
                        <w:sz w:val="22"/>
                        <w:szCs w:val="22"/>
                      </w:rPr>
                      <w:t>SENATE DECISION</w:t>
                    </w:r>
                    <w:r w:rsidR="00000000">
                      <w:rPr>
                        <w:b/>
                        <w:bCs/>
                        <w:sz w:val="22"/>
                        <w:szCs w:val="22"/>
                      </w:rPr>
                      <w:t>: 2020/03/09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31FC"/>
    <w:multiLevelType w:val="multilevel"/>
    <w:tmpl w:val="C17C2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933A8"/>
    <w:multiLevelType w:val="multilevel"/>
    <w:tmpl w:val="EFC29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B9225B"/>
    <w:multiLevelType w:val="multilevel"/>
    <w:tmpl w:val="704A5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891E1F"/>
    <w:multiLevelType w:val="multilevel"/>
    <w:tmpl w:val="65A84E46"/>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393681"/>
    <w:multiLevelType w:val="multilevel"/>
    <w:tmpl w:val="668ED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C14783"/>
    <w:multiLevelType w:val="multilevel"/>
    <w:tmpl w:val="42ECB4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921874"/>
    <w:multiLevelType w:val="multilevel"/>
    <w:tmpl w:val="C56AF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0418880">
    <w:abstractNumId w:val="1"/>
  </w:num>
  <w:num w:numId="2" w16cid:durableId="1178420640">
    <w:abstractNumId w:val="4"/>
  </w:num>
  <w:num w:numId="3" w16cid:durableId="305746968">
    <w:abstractNumId w:val="2"/>
  </w:num>
  <w:num w:numId="4" w16cid:durableId="319965003">
    <w:abstractNumId w:val="0"/>
  </w:num>
  <w:num w:numId="5" w16cid:durableId="395706479">
    <w:abstractNumId w:val="3"/>
  </w:num>
  <w:num w:numId="6" w16cid:durableId="99103654">
    <w:abstractNumId w:val="6"/>
  </w:num>
  <w:num w:numId="7" w16cid:durableId="540048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74"/>
    <w:rsid w:val="00035E1B"/>
    <w:rsid w:val="00073202"/>
    <w:rsid w:val="00132C6E"/>
    <w:rsid w:val="002B3DAA"/>
    <w:rsid w:val="002E1355"/>
    <w:rsid w:val="00485F41"/>
    <w:rsid w:val="00597CA6"/>
    <w:rsid w:val="00602320"/>
    <w:rsid w:val="00617E74"/>
    <w:rsid w:val="00680020"/>
    <w:rsid w:val="00815863"/>
    <w:rsid w:val="008A04E6"/>
    <w:rsid w:val="009B2E15"/>
    <w:rsid w:val="009D72CB"/>
    <w:rsid w:val="00B83156"/>
    <w:rsid w:val="00C77E5F"/>
    <w:rsid w:val="00D24CF8"/>
    <w:rsid w:val="00F43D76"/>
    <w:rsid w:val="00FA2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5BBD2"/>
  <w15:docId w15:val="{891FBCD6-D72A-4F46-9765-61D9C53D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rPr>
  </w:style>
  <w:style w:type="paragraph" w:customStyle="1" w:styleId="Gvdemetni0">
    <w:name w:val="Gövde metni"/>
    <w:basedOn w:val="Normal"/>
    <w:link w:val="Gvdemetni"/>
    <w:rPr>
      <w:rFonts w:ascii="Times New Roman" w:eastAsia="Times New Roman" w:hAnsi="Times New Roman" w:cs="Times New Roman"/>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lang w:val="en-US" w:eastAsia="en-US" w:bidi="en-US"/>
    </w:rPr>
  </w:style>
  <w:style w:type="paragraph" w:customStyle="1" w:styleId="Balk10">
    <w:name w:val="Başlık #1"/>
    <w:basedOn w:val="Normal"/>
    <w:link w:val="Balk1"/>
    <w:pPr>
      <w:spacing w:after="260"/>
      <w:jc w:val="center"/>
      <w:outlineLvl w:val="0"/>
    </w:pPr>
    <w:rPr>
      <w:rFonts w:ascii="Times New Roman" w:eastAsia="Times New Roman" w:hAnsi="Times New Roman" w:cs="Times New Roman"/>
      <w:b/>
      <w:bCs/>
    </w:rPr>
  </w:style>
  <w:style w:type="paragraph" w:styleId="stBilgi">
    <w:name w:val="header"/>
    <w:basedOn w:val="Normal"/>
    <w:link w:val="stBilgiChar"/>
    <w:uiPriority w:val="99"/>
    <w:unhideWhenUsed/>
    <w:rsid w:val="002E1355"/>
    <w:pPr>
      <w:tabs>
        <w:tab w:val="center" w:pos="4536"/>
        <w:tab w:val="right" w:pos="9072"/>
      </w:tabs>
    </w:pPr>
  </w:style>
  <w:style w:type="character" w:customStyle="1" w:styleId="stBilgiChar">
    <w:name w:val="Üst Bilgi Char"/>
    <w:basedOn w:val="VarsaylanParagrafYazTipi"/>
    <w:link w:val="stBilgi"/>
    <w:uiPriority w:val="99"/>
    <w:rsid w:val="002E1355"/>
    <w:rPr>
      <w:color w:val="000000"/>
    </w:rPr>
  </w:style>
  <w:style w:type="paragraph" w:styleId="AltBilgi">
    <w:name w:val="footer"/>
    <w:basedOn w:val="Normal"/>
    <w:link w:val="AltBilgiChar"/>
    <w:uiPriority w:val="99"/>
    <w:unhideWhenUsed/>
    <w:rsid w:val="002E1355"/>
    <w:pPr>
      <w:tabs>
        <w:tab w:val="center" w:pos="4536"/>
        <w:tab w:val="right" w:pos="9072"/>
      </w:tabs>
    </w:pPr>
  </w:style>
  <w:style w:type="character" w:customStyle="1" w:styleId="AltBilgiChar">
    <w:name w:val="Alt Bilgi Char"/>
    <w:basedOn w:val="VarsaylanParagrafYazTipi"/>
    <w:link w:val="AltBilgi"/>
    <w:uiPriority w:val="99"/>
    <w:rsid w:val="002E13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1092</Words>
  <Characters>6227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güdüloğlu</dc:creator>
  <cp:keywords/>
  <cp:lastModifiedBy>zehrayilmazmaden@gmail.com</cp:lastModifiedBy>
  <cp:revision>13</cp:revision>
  <dcterms:created xsi:type="dcterms:W3CDTF">2024-09-11T06:30:00Z</dcterms:created>
  <dcterms:modified xsi:type="dcterms:W3CDTF">2024-09-11T07:20:00Z</dcterms:modified>
</cp:coreProperties>
</file>