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9BE9" w14:textId="437DA04A" w:rsidR="00D83A76" w:rsidRPr="00D73BAD" w:rsidRDefault="00000000">
      <w:pPr>
        <w:pStyle w:val="Balk10"/>
        <w:keepNext/>
        <w:keepLines/>
        <w:jc w:val="center"/>
        <w:rPr>
          <w:lang w:val="en-US"/>
        </w:rPr>
      </w:pPr>
      <w:bookmarkStart w:id="0" w:name="bookmark0"/>
      <w:r w:rsidRPr="00D73BAD">
        <w:rPr>
          <w:lang w:val="en-US"/>
        </w:rPr>
        <w:t xml:space="preserve">FENERBAHÇE </w:t>
      </w:r>
      <w:bookmarkEnd w:id="0"/>
      <w:r w:rsidR="001C603D" w:rsidRPr="00D73BAD">
        <w:rPr>
          <w:lang w:val="en-US"/>
        </w:rPr>
        <w:t>UNIVERSITY</w:t>
      </w:r>
    </w:p>
    <w:p w14:paraId="3BEF067B" w14:textId="77777777" w:rsidR="001C603D" w:rsidRPr="00D73BAD" w:rsidRDefault="001C603D" w:rsidP="001C603D">
      <w:pPr>
        <w:pStyle w:val="Balk10"/>
        <w:keepNext/>
        <w:keepLines/>
        <w:jc w:val="center"/>
        <w:rPr>
          <w:lang w:val="en-US"/>
        </w:rPr>
      </w:pPr>
      <w:r w:rsidRPr="00D73BAD">
        <w:rPr>
          <w:lang w:val="en-US"/>
        </w:rPr>
        <w:t xml:space="preserve">TURKISH EDUCATION APPLICATION AND RESEARCH </w:t>
      </w:r>
    </w:p>
    <w:p w14:paraId="278D0CAB" w14:textId="41963EAB" w:rsidR="00D83A76" w:rsidRPr="00D73BAD" w:rsidRDefault="001C603D" w:rsidP="001C603D">
      <w:pPr>
        <w:pStyle w:val="Balk10"/>
        <w:keepNext/>
        <w:keepLines/>
        <w:jc w:val="center"/>
        <w:rPr>
          <w:lang w:val="en-US"/>
        </w:rPr>
      </w:pPr>
      <w:r w:rsidRPr="00D73BAD">
        <w:rPr>
          <w:lang w:val="en-US"/>
        </w:rPr>
        <w:t>CENTER EDUCATION AND TRAINING DIRECTIVE</w:t>
      </w:r>
    </w:p>
    <w:p w14:paraId="13B9641B" w14:textId="77777777" w:rsidR="001C603D" w:rsidRPr="00D73BAD" w:rsidRDefault="001C603D" w:rsidP="001C603D">
      <w:pPr>
        <w:pStyle w:val="Balk10"/>
        <w:keepNext/>
        <w:keepLines/>
        <w:jc w:val="center"/>
        <w:rPr>
          <w:lang w:val="en-US"/>
        </w:rPr>
      </w:pPr>
    </w:p>
    <w:p w14:paraId="692BB97C" w14:textId="61E909CF" w:rsidR="00D83A76" w:rsidRPr="00D73BAD" w:rsidRDefault="001C603D">
      <w:pPr>
        <w:pStyle w:val="Balk10"/>
        <w:keepNext/>
        <w:keepLines/>
        <w:jc w:val="center"/>
        <w:rPr>
          <w:lang w:val="en-US"/>
        </w:rPr>
      </w:pPr>
      <w:r w:rsidRPr="00D73BAD">
        <w:rPr>
          <w:lang w:val="en-US"/>
        </w:rPr>
        <w:t>PART ONE</w:t>
      </w:r>
    </w:p>
    <w:p w14:paraId="4D77C12F" w14:textId="27F2C2A7" w:rsidR="00D83A76" w:rsidRPr="00D73BAD" w:rsidRDefault="001C603D">
      <w:pPr>
        <w:pStyle w:val="Balk10"/>
        <w:keepNext/>
        <w:keepLines/>
        <w:spacing w:after="260"/>
        <w:jc w:val="center"/>
        <w:rPr>
          <w:lang w:val="en-US"/>
        </w:rPr>
      </w:pPr>
      <w:bookmarkStart w:id="1" w:name="bookmark5"/>
      <w:r w:rsidRPr="00D73BAD">
        <w:rPr>
          <w:lang w:val="en-US"/>
        </w:rPr>
        <w:t>Purpose, Scope, Basis and</w:t>
      </w:r>
      <w:r w:rsidRPr="00D73BAD">
        <w:rPr>
          <w:lang w:val="en-US"/>
        </w:rPr>
        <w:t xml:space="preserve"> </w:t>
      </w:r>
      <w:bookmarkEnd w:id="1"/>
      <w:r w:rsidRPr="00D73BAD">
        <w:rPr>
          <w:lang w:val="en-US"/>
        </w:rPr>
        <w:t>Definitions</w:t>
      </w:r>
    </w:p>
    <w:p w14:paraId="063AFA93" w14:textId="4336B80F" w:rsidR="00D83A76" w:rsidRPr="00D73BAD" w:rsidRDefault="001C603D">
      <w:pPr>
        <w:pStyle w:val="Balk10"/>
        <w:keepNext/>
        <w:keepLines/>
        <w:jc w:val="both"/>
        <w:rPr>
          <w:lang w:val="en-US"/>
        </w:rPr>
      </w:pPr>
      <w:r w:rsidRPr="00D73BAD">
        <w:rPr>
          <w:lang w:val="en-US"/>
        </w:rPr>
        <w:t>Purpose</w:t>
      </w:r>
    </w:p>
    <w:p w14:paraId="1FAB8C5B" w14:textId="1D9A169D" w:rsidR="00D83A76" w:rsidRPr="00D73BAD" w:rsidRDefault="001C603D">
      <w:pPr>
        <w:pStyle w:val="Gvdemetni0"/>
        <w:spacing w:after="260"/>
        <w:jc w:val="both"/>
        <w:rPr>
          <w:lang w:val="en-US"/>
        </w:rPr>
      </w:pPr>
      <w:r w:rsidRPr="00D73BAD">
        <w:rPr>
          <w:b/>
          <w:bCs/>
          <w:lang w:val="en-US" w:eastAsia="en-US" w:bidi="en-US"/>
        </w:rPr>
        <w:t>ARTICLE</w:t>
      </w:r>
      <w:r w:rsidR="00000000" w:rsidRPr="00D73BAD">
        <w:rPr>
          <w:b/>
          <w:bCs/>
          <w:lang w:val="en-US" w:eastAsia="en-US" w:bidi="en-US"/>
        </w:rPr>
        <w:t xml:space="preserve"> 1- </w:t>
      </w:r>
      <w:r w:rsidR="00000000" w:rsidRPr="00D73BAD">
        <w:rPr>
          <w:lang w:val="en-US" w:eastAsia="en-US" w:bidi="en-US"/>
        </w:rPr>
        <w:t xml:space="preserve">(1) </w:t>
      </w:r>
      <w:r w:rsidR="00A7308F" w:rsidRPr="00D73BAD">
        <w:rPr>
          <w:lang w:val="en-US" w:eastAsia="en-US" w:bidi="en-US"/>
        </w:rPr>
        <w:t xml:space="preserve">The </w:t>
      </w:r>
      <w:r w:rsidR="00A7308F" w:rsidRPr="00D73BAD">
        <w:rPr>
          <w:lang w:val="en-US" w:eastAsia="en-US"/>
        </w:rPr>
        <w:t>p</w:t>
      </w:r>
      <w:r w:rsidR="00A7308F" w:rsidRPr="00D73BAD">
        <w:rPr>
          <w:lang w:val="en-US" w:eastAsia="en-US"/>
        </w:rPr>
        <w:t>urpose of this Directive is to set forth the principles and procedures related to the education-</w:t>
      </w:r>
      <w:r w:rsidR="00A7308F" w:rsidRPr="00D73BAD">
        <w:rPr>
          <w:lang w:val="en-US" w:eastAsia="en-US"/>
        </w:rPr>
        <w:t>training</w:t>
      </w:r>
      <w:r w:rsidR="00A7308F" w:rsidRPr="00D73BAD">
        <w:rPr>
          <w:lang w:val="en-US" w:eastAsia="en-US"/>
        </w:rPr>
        <w:t xml:space="preserve"> processes to be carried out in language courses to be opened for foreign students who will study in Fenerbahçe University Turkish Teaching Application and Research Center and foreigners who want to learn Turkish</w:t>
      </w:r>
      <w:r w:rsidR="00000000" w:rsidRPr="00D73BAD">
        <w:rPr>
          <w:lang w:val="en-US"/>
        </w:rPr>
        <w:t>.</w:t>
      </w:r>
    </w:p>
    <w:p w14:paraId="13344652" w14:textId="099F9D2A" w:rsidR="00D83A76" w:rsidRPr="00D73BAD" w:rsidRDefault="00A7308F">
      <w:pPr>
        <w:pStyle w:val="Balk10"/>
        <w:keepNext/>
        <w:keepLines/>
        <w:jc w:val="both"/>
        <w:rPr>
          <w:lang w:val="en-US"/>
        </w:rPr>
      </w:pPr>
      <w:r w:rsidRPr="00D73BAD">
        <w:rPr>
          <w:lang w:val="en-US" w:eastAsia="en-US" w:bidi="en-US"/>
        </w:rPr>
        <w:t>Scope</w:t>
      </w:r>
    </w:p>
    <w:p w14:paraId="577A614C" w14:textId="571F72D3" w:rsidR="00D83A76" w:rsidRPr="00D73BAD" w:rsidRDefault="001C603D">
      <w:pPr>
        <w:pStyle w:val="Gvdemetni0"/>
        <w:spacing w:after="260"/>
        <w:jc w:val="both"/>
        <w:rPr>
          <w:lang w:val="en-US"/>
        </w:rPr>
      </w:pPr>
      <w:r w:rsidRPr="00D73BAD">
        <w:rPr>
          <w:b/>
          <w:bCs/>
          <w:lang w:val="en-US" w:eastAsia="en-US" w:bidi="en-US"/>
        </w:rPr>
        <w:t xml:space="preserve">ARTICLE </w:t>
      </w:r>
      <w:r w:rsidR="00000000" w:rsidRPr="00D73BAD">
        <w:rPr>
          <w:b/>
          <w:bCs/>
          <w:lang w:val="en-US" w:eastAsia="en-US" w:bidi="en-US"/>
        </w:rPr>
        <w:t>2</w:t>
      </w:r>
      <w:r w:rsidR="00000000" w:rsidRPr="00D73BAD">
        <w:rPr>
          <w:lang w:val="en-US" w:eastAsia="en-US" w:bidi="en-US"/>
        </w:rPr>
        <w:t xml:space="preserve">- (1) </w:t>
      </w:r>
      <w:r w:rsidR="00A7308F" w:rsidRPr="00D73BAD">
        <w:rPr>
          <w:lang w:val="en-US" w:eastAsia="en-US"/>
        </w:rPr>
        <w:t>This Directive covers the provisions related to the educational processes carried out within Fenerbahçe University Turkish Teaching Application and Research Center</w:t>
      </w:r>
      <w:r w:rsidR="00000000" w:rsidRPr="00D73BAD">
        <w:rPr>
          <w:lang w:val="en-US" w:eastAsia="en-US" w:bidi="en-US"/>
        </w:rPr>
        <w:t>.</w:t>
      </w:r>
    </w:p>
    <w:p w14:paraId="0CF39294" w14:textId="12CF5718" w:rsidR="00D83A76" w:rsidRPr="00D73BAD" w:rsidRDefault="00A7308F">
      <w:pPr>
        <w:pStyle w:val="Balk10"/>
        <w:keepNext/>
        <w:keepLines/>
        <w:jc w:val="both"/>
        <w:rPr>
          <w:lang w:val="en-US"/>
        </w:rPr>
      </w:pPr>
      <w:r w:rsidRPr="00D73BAD">
        <w:rPr>
          <w:lang w:val="en-US" w:eastAsia="en-US" w:bidi="en-US"/>
        </w:rPr>
        <w:t>Basis</w:t>
      </w:r>
    </w:p>
    <w:p w14:paraId="774AF5CE" w14:textId="39C6948A" w:rsidR="00D83A76" w:rsidRPr="00D73BAD" w:rsidRDefault="001C603D">
      <w:pPr>
        <w:pStyle w:val="Gvdemetni0"/>
        <w:spacing w:after="260"/>
        <w:jc w:val="both"/>
        <w:rPr>
          <w:lang w:val="en-US"/>
        </w:rPr>
      </w:pPr>
      <w:r w:rsidRPr="00D73BAD">
        <w:rPr>
          <w:b/>
          <w:bCs/>
          <w:lang w:val="en-US" w:eastAsia="en-US" w:bidi="en-US"/>
        </w:rPr>
        <w:t xml:space="preserve">ARTICLE </w:t>
      </w:r>
      <w:r w:rsidR="00000000" w:rsidRPr="00D73BAD">
        <w:rPr>
          <w:b/>
          <w:bCs/>
          <w:lang w:val="en-US" w:eastAsia="en-US" w:bidi="en-US"/>
        </w:rPr>
        <w:t xml:space="preserve">3- </w:t>
      </w:r>
      <w:r w:rsidR="00000000" w:rsidRPr="00D73BAD">
        <w:rPr>
          <w:lang w:val="en-US" w:eastAsia="en-US" w:bidi="en-US"/>
        </w:rPr>
        <w:t xml:space="preserve">(1) </w:t>
      </w:r>
      <w:r w:rsidR="00A7308F" w:rsidRPr="00D73BAD">
        <w:rPr>
          <w:lang w:val="en-US" w:eastAsia="en-US"/>
        </w:rPr>
        <w:t>This Directive has been prepared based on the provisions of Article 44 and 49 of the Higher Education Law No. 2547 and dated 4/11/1981</w:t>
      </w:r>
      <w:r w:rsidR="00A7308F" w:rsidRPr="00D73BAD">
        <w:rPr>
          <w:lang w:val="en-US" w:eastAsia="en-US" w:bidi="en-US"/>
        </w:rPr>
        <w:t xml:space="preserve">, </w:t>
      </w:r>
      <w:r w:rsidR="008A159C" w:rsidRPr="00D73BAD">
        <w:rPr>
          <w:lang w:val="en-US" w:eastAsia="en-US" w:bidi="en-US"/>
        </w:rPr>
        <w:t>Regulation on the Principles to be Followed in Foreign Language Education and Foreign Language Education in Higher Education Institutions, published in the Official Gazette dated 23/03/2016 and numbered 29662</w:t>
      </w:r>
      <w:r w:rsidR="008A159C" w:rsidRPr="00D73BAD">
        <w:rPr>
          <w:lang w:val="en-US"/>
        </w:rPr>
        <w:t>,</w:t>
      </w:r>
      <w:r w:rsidR="00000000" w:rsidRPr="00D73BAD">
        <w:rPr>
          <w:lang w:val="en-US"/>
        </w:rPr>
        <w:t xml:space="preserve"> </w:t>
      </w:r>
      <w:r w:rsidR="008A159C" w:rsidRPr="00D73BAD">
        <w:rPr>
          <w:lang w:val="en-US" w:eastAsia="en-US" w:bidi="en-US"/>
        </w:rPr>
        <w:t>the provisions of the Fenerbahçe University Turkish Language Teaching Application and Research Center Regulation published in the Official Gazette dated 20/01/2020 and numbered 31014</w:t>
      </w:r>
      <w:r w:rsidR="008A159C" w:rsidRPr="00D73BAD">
        <w:rPr>
          <w:lang w:val="en-US" w:eastAsia="en-US" w:bidi="en-US"/>
        </w:rPr>
        <w:t xml:space="preserve"> and</w:t>
      </w:r>
      <w:r w:rsidR="00000000" w:rsidRPr="00D73BAD">
        <w:rPr>
          <w:lang w:val="en-US" w:eastAsia="en-US" w:bidi="en-US"/>
        </w:rPr>
        <w:t xml:space="preserve"> </w:t>
      </w:r>
      <w:r w:rsidR="008A159C" w:rsidRPr="00D73BAD">
        <w:rPr>
          <w:lang w:val="en-US" w:eastAsia="en-US"/>
        </w:rPr>
        <w:t>the articles of Fenerbahçe University Associate Degree and Undergraduate Education Regulation published in the Official Gazette No. 31215 and dated 16/08/2020</w:t>
      </w:r>
      <w:r w:rsidR="00000000" w:rsidRPr="00D73BAD">
        <w:rPr>
          <w:lang w:val="en-US"/>
        </w:rPr>
        <w:t>.</w:t>
      </w:r>
    </w:p>
    <w:p w14:paraId="11C4C8F7" w14:textId="0374AD2A" w:rsidR="00D83A76" w:rsidRPr="00D73BAD" w:rsidRDefault="00A7308F">
      <w:pPr>
        <w:pStyle w:val="Balk10"/>
        <w:keepNext/>
        <w:keepLines/>
        <w:jc w:val="both"/>
        <w:rPr>
          <w:lang w:val="en-US"/>
        </w:rPr>
      </w:pPr>
      <w:r w:rsidRPr="00D73BAD">
        <w:rPr>
          <w:lang w:val="en-US"/>
        </w:rPr>
        <w:t>Definitions</w:t>
      </w:r>
    </w:p>
    <w:p w14:paraId="455E5936" w14:textId="01090555" w:rsidR="00D83A76" w:rsidRPr="00D73BAD" w:rsidRDefault="001C603D">
      <w:pPr>
        <w:pStyle w:val="Gvdemetni0"/>
        <w:jc w:val="both"/>
        <w:rPr>
          <w:lang w:val="en-US"/>
        </w:rPr>
      </w:pPr>
      <w:r w:rsidRPr="00D73BAD">
        <w:rPr>
          <w:b/>
          <w:bCs/>
          <w:lang w:val="en-US" w:eastAsia="en-US" w:bidi="en-US"/>
        </w:rPr>
        <w:t xml:space="preserve">ARTICLE </w:t>
      </w:r>
      <w:r w:rsidR="00000000" w:rsidRPr="00D73BAD">
        <w:rPr>
          <w:b/>
          <w:bCs/>
          <w:lang w:val="en-US" w:eastAsia="en-US" w:bidi="en-US"/>
        </w:rPr>
        <w:t xml:space="preserve">4- </w:t>
      </w:r>
      <w:r w:rsidR="00000000" w:rsidRPr="00D73BAD">
        <w:rPr>
          <w:lang w:val="en-US" w:eastAsia="en-US" w:bidi="en-US"/>
        </w:rPr>
        <w:t xml:space="preserve">(1) </w:t>
      </w:r>
      <w:r w:rsidR="008A159C" w:rsidRPr="00D73BAD">
        <w:rPr>
          <w:lang w:val="en-US" w:eastAsia="en-US"/>
        </w:rPr>
        <w:t>The following terms used in this directive shall bear the following meanings</w:t>
      </w:r>
      <w:r w:rsidR="008A159C" w:rsidRPr="00D73BAD">
        <w:rPr>
          <w:lang w:val="en-US" w:eastAsia="en-US"/>
        </w:rPr>
        <w:t>:</w:t>
      </w:r>
    </w:p>
    <w:p w14:paraId="4F915045" w14:textId="6A0EEBB5" w:rsidR="00D83A76" w:rsidRPr="00D73BAD" w:rsidRDefault="008A159C">
      <w:pPr>
        <w:pStyle w:val="Gvdemetni0"/>
        <w:numPr>
          <w:ilvl w:val="0"/>
          <w:numId w:val="1"/>
        </w:numPr>
        <w:tabs>
          <w:tab w:val="left" w:pos="392"/>
        </w:tabs>
        <w:jc w:val="both"/>
        <w:rPr>
          <w:lang w:val="en-US"/>
        </w:rPr>
      </w:pPr>
      <w:r w:rsidRPr="00D73BAD">
        <w:rPr>
          <w:b/>
          <w:bCs/>
          <w:lang w:val="en-US"/>
        </w:rPr>
        <w:t>Level</w:t>
      </w:r>
      <w:r w:rsidR="00000000" w:rsidRPr="00D73BAD">
        <w:rPr>
          <w:b/>
          <w:bCs/>
          <w:lang w:val="en-US"/>
        </w:rPr>
        <w:t xml:space="preserve">: </w:t>
      </w:r>
      <w:r w:rsidRPr="00D73BAD">
        <w:rPr>
          <w:lang w:val="en-US" w:eastAsia="en-US"/>
        </w:rPr>
        <w:t>One of A1, A2, B1, B2, C1 and C2 levels in accordance with the Common Application Text of European Languages</w:t>
      </w:r>
      <w:r w:rsidR="00000000" w:rsidRPr="00D73BAD">
        <w:rPr>
          <w:lang w:val="en-US" w:eastAsia="en-US" w:bidi="en-US"/>
        </w:rPr>
        <w:t>,</w:t>
      </w:r>
      <w:r w:rsidRPr="00D73BAD">
        <w:rPr>
          <w:lang w:val="en-US" w:eastAsia="en-US" w:bidi="en-US"/>
        </w:rPr>
        <w:t xml:space="preserve"> </w:t>
      </w:r>
    </w:p>
    <w:p w14:paraId="14C1573D" w14:textId="57BD6103" w:rsidR="00D83A76" w:rsidRPr="00D73BAD" w:rsidRDefault="008A159C">
      <w:pPr>
        <w:pStyle w:val="Gvdemetni0"/>
        <w:numPr>
          <w:ilvl w:val="0"/>
          <w:numId w:val="1"/>
        </w:numPr>
        <w:tabs>
          <w:tab w:val="left" w:pos="402"/>
        </w:tabs>
        <w:jc w:val="both"/>
        <w:rPr>
          <w:lang w:val="en-US"/>
        </w:rPr>
      </w:pPr>
      <w:r w:rsidRPr="00D73BAD">
        <w:rPr>
          <w:b/>
          <w:bCs/>
          <w:lang w:val="en-US" w:eastAsia="en-US"/>
        </w:rPr>
        <w:t>Trainee</w:t>
      </w:r>
      <w:r w:rsidR="00000000" w:rsidRPr="00D73BAD">
        <w:rPr>
          <w:b/>
          <w:bCs/>
          <w:lang w:val="en-US" w:eastAsia="en-US" w:bidi="en-US"/>
        </w:rPr>
        <w:t xml:space="preserve">: </w:t>
      </w:r>
      <w:r w:rsidRPr="00D73BAD">
        <w:rPr>
          <w:lang w:val="en-US"/>
        </w:rPr>
        <w:t>Except for Fenerbahçe University registered students, the person who has enrolled in Turkish Language Course opened in Turkish Teaching Application and Research Center</w:t>
      </w:r>
      <w:r w:rsidR="00000000" w:rsidRPr="00D73BAD">
        <w:rPr>
          <w:lang w:val="en-US"/>
        </w:rPr>
        <w:t>,</w:t>
      </w:r>
    </w:p>
    <w:p w14:paraId="583C6F6A" w14:textId="59DDC123" w:rsidR="00D83A76" w:rsidRPr="00D73BAD" w:rsidRDefault="008A159C">
      <w:pPr>
        <w:pStyle w:val="Gvdemetni0"/>
        <w:numPr>
          <w:ilvl w:val="0"/>
          <w:numId w:val="1"/>
        </w:numPr>
        <w:tabs>
          <w:tab w:val="left" w:pos="378"/>
        </w:tabs>
        <w:jc w:val="both"/>
        <w:rPr>
          <w:lang w:val="en-US"/>
        </w:rPr>
      </w:pPr>
      <w:r w:rsidRPr="00D73BAD">
        <w:rPr>
          <w:b/>
          <w:bCs/>
          <w:lang w:val="en-US" w:eastAsia="en-US"/>
        </w:rPr>
        <w:t>Trainee ID Card</w:t>
      </w:r>
      <w:r w:rsidR="00000000" w:rsidRPr="00D73BAD">
        <w:rPr>
          <w:b/>
          <w:bCs/>
          <w:lang w:val="en-US"/>
        </w:rPr>
        <w:t xml:space="preserve">: </w:t>
      </w:r>
      <w:r w:rsidRPr="00D73BAD">
        <w:rPr>
          <w:lang w:val="en-US"/>
        </w:rPr>
        <w:t>The identity card issued to the trainee who enrolled in the courses opened within Turkish Teaching Application and Research Center other than the registered students of Fenerbahçe University</w:t>
      </w:r>
      <w:r w:rsidR="00000000" w:rsidRPr="00D73BAD">
        <w:rPr>
          <w:lang w:val="en-US"/>
        </w:rPr>
        <w:t>,</w:t>
      </w:r>
    </w:p>
    <w:p w14:paraId="2DD05AB5" w14:textId="0E174C67" w:rsidR="008A159C" w:rsidRPr="00D73BAD" w:rsidRDefault="00000000">
      <w:pPr>
        <w:pStyle w:val="Gvdemetni0"/>
        <w:rPr>
          <w:lang w:val="en-US" w:eastAsia="en-US" w:bidi="en-US"/>
        </w:rPr>
      </w:pPr>
      <w:r w:rsidRPr="00D73BAD">
        <w:rPr>
          <w:b/>
          <w:bCs/>
          <w:lang w:val="en-US"/>
        </w:rPr>
        <w:t xml:space="preserve">ç) </w:t>
      </w:r>
      <w:r w:rsidR="008A159C" w:rsidRPr="00D73BAD">
        <w:rPr>
          <w:b/>
          <w:bCs/>
          <w:lang w:val="en-US" w:eastAsia="en-US"/>
        </w:rPr>
        <w:t>Center</w:t>
      </w:r>
      <w:r w:rsidRPr="00D73BAD">
        <w:rPr>
          <w:lang w:val="en-US" w:eastAsia="en-US" w:bidi="en-US"/>
        </w:rPr>
        <w:t xml:space="preserve">: </w:t>
      </w:r>
      <w:r w:rsidR="008A159C" w:rsidRPr="00D73BAD">
        <w:rPr>
          <w:lang w:val="en-US"/>
        </w:rPr>
        <w:t>Fenerbahçe University Turkish Teaching Application and Research Center</w:t>
      </w:r>
      <w:r w:rsidRPr="00D73BAD">
        <w:rPr>
          <w:lang w:val="en-US" w:eastAsia="en-US" w:bidi="en-US"/>
        </w:rPr>
        <w:t xml:space="preserve">, </w:t>
      </w:r>
    </w:p>
    <w:p w14:paraId="218B0E73" w14:textId="05879437" w:rsidR="00D83A76" w:rsidRPr="00D73BAD" w:rsidRDefault="00000000">
      <w:pPr>
        <w:pStyle w:val="Gvdemetni0"/>
        <w:rPr>
          <w:lang w:val="en-US"/>
        </w:rPr>
      </w:pPr>
      <w:r w:rsidRPr="00D73BAD">
        <w:rPr>
          <w:b/>
          <w:bCs/>
          <w:lang w:val="en-US" w:eastAsia="en-US" w:bidi="en-US"/>
        </w:rPr>
        <w:t xml:space="preserve">d) </w:t>
      </w:r>
      <w:r w:rsidR="008A159C" w:rsidRPr="00D73BAD">
        <w:rPr>
          <w:b/>
          <w:bCs/>
          <w:lang w:val="en-US" w:eastAsia="en-US" w:bidi="en-US"/>
        </w:rPr>
        <w:t>Central Board of Directors</w:t>
      </w:r>
      <w:r w:rsidRPr="00D73BAD">
        <w:rPr>
          <w:b/>
          <w:bCs/>
          <w:lang w:val="en-US" w:eastAsia="en-US" w:bidi="en-US"/>
        </w:rPr>
        <w:t xml:space="preserve">: </w:t>
      </w:r>
      <w:r w:rsidR="008A159C" w:rsidRPr="00D73BAD">
        <w:rPr>
          <w:lang w:val="en-US"/>
        </w:rPr>
        <w:t>Fenerbahce University Turkish Language Teaching Application and Research Center Board of Directors</w:t>
      </w:r>
      <w:r w:rsidRPr="00D73BAD">
        <w:rPr>
          <w:lang w:val="en-US" w:eastAsia="en-US" w:bidi="en-US"/>
        </w:rPr>
        <w:t>,</w:t>
      </w:r>
    </w:p>
    <w:p w14:paraId="6EB61C8E" w14:textId="60F8D46E" w:rsidR="00D83A76" w:rsidRPr="00D73BAD" w:rsidRDefault="00000000">
      <w:pPr>
        <w:pStyle w:val="Gvdemetni0"/>
        <w:rPr>
          <w:lang w:val="en-US"/>
        </w:rPr>
      </w:pPr>
      <w:r w:rsidRPr="00D73BAD">
        <w:rPr>
          <w:b/>
          <w:bCs/>
          <w:lang w:val="en-US" w:eastAsia="en-US" w:bidi="en-US"/>
        </w:rPr>
        <w:t xml:space="preserve">e) </w:t>
      </w:r>
      <w:r w:rsidR="008A159C" w:rsidRPr="00D73BAD">
        <w:rPr>
          <w:b/>
          <w:bCs/>
          <w:lang w:val="en-US"/>
        </w:rPr>
        <w:t>Director</w:t>
      </w:r>
      <w:r w:rsidRPr="00D73BAD">
        <w:rPr>
          <w:b/>
          <w:bCs/>
          <w:lang w:val="en-US"/>
        </w:rPr>
        <w:t xml:space="preserve">: </w:t>
      </w:r>
      <w:r w:rsidR="008A159C" w:rsidRPr="00D73BAD">
        <w:rPr>
          <w:lang w:val="en-US"/>
        </w:rPr>
        <w:t>Fenerbahçe University Turkish Teaching Application and Research Center Director</w:t>
      </w:r>
      <w:r w:rsidRPr="00D73BAD">
        <w:rPr>
          <w:lang w:val="en-US"/>
        </w:rPr>
        <w:t xml:space="preserve">, </w:t>
      </w:r>
      <w:r w:rsidRPr="00D73BAD">
        <w:rPr>
          <w:b/>
          <w:bCs/>
          <w:lang w:val="en-US" w:eastAsia="en-US" w:bidi="en-US"/>
        </w:rPr>
        <w:t xml:space="preserve">f) </w:t>
      </w:r>
      <w:r w:rsidR="008A159C" w:rsidRPr="00D73BAD">
        <w:rPr>
          <w:b/>
          <w:bCs/>
          <w:lang w:val="en-US"/>
        </w:rPr>
        <w:t>Board of Trustees</w:t>
      </w:r>
      <w:r w:rsidRPr="00D73BAD">
        <w:rPr>
          <w:b/>
          <w:bCs/>
          <w:lang w:val="en-US" w:eastAsia="en-US" w:bidi="en-US"/>
        </w:rPr>
        <w:t xml:space="preserve">: </w:t>
      </w:r>
      <w:r w:rsidR="008A159C" w:rsidRPr="00D73BAD">
        <w:rPr>
          <w:lang w:val="en-US"/>
        </w:rPr>
        <w:t>Fenerbahce University Board of Trustees</w:t>
      </w:r>
      <w:r w:rsidRPr="00D73BAD">
        <w:rPr>
          <w:lang w:val="en-US" w:eastAsia="en-US" w:bidi="en-US"/>
        </w:rPr>
        <w:t>,</w:t>
      </w:r>
    </w:p>
    <w:p w14:paraId="5B725810" w14:textId="30E5F970" w:rsidR="00D83A76" w:rsidRPr="00D73BAD" w:rsidRDefault="008A159C">
      <w:pPr>
        <w:pStyle w:val="Gvdemetni0"/>
        <w:numPr>
          <w:ilvl w:val="0"/>
          <w:numId w:val="2"/>
        </w:numPr>
        <w:tabs>
          <w:tab w:val="left" w:pos="382"/>
        </w:tabs>
        <w:spacing w:after="260"/>
        <w:rPr>
          <w:lang w:val="en-US"/>
        </w:rPr>
      </w:pPr>
      <w:r w:rsidRPr="00D73BAD">
        <w:rPr>
          <w:b/>
          <w:bCs/>
          <w:lang w:val="en-US"/>
        </w:rPr>
        <w:t>Student Affairs System</w:t>
      </w:r>
      <w:r w:rsidR="00000000" w:rsidRPr="00D73BAD">
        <w:rPr>
          <w:lang w:val="en-US" w:eastAsia="en-US" w:bidi="en-US"/>
        </w:rPr>
        <w:t xml:space="preserve">: </w:t>
      </w:r>
      <w:r w:rsidRPr="00D73BAD">
        <w:rPr>
          <w:lang w:val="en-US"/>
        </w:rPr>
        <w:t>Fenerbahçe University Student Affairs Syst</w:t>
      </w:r>
      <w:r w:rsidRPr="00D73BAD">
        <w:rPr>
          <w:lang w:val="en-US"/>
        </w:rPr>
        <w:t>em</w:t>
      </w:r>
      <w:r w:rsidR="00000000" w:rsidRPr="00D73BAD">
        <w:rPr>
          <w:lang w:val="en-US" w:eastAsia="en-US" w:bidi="en-US"/>
        </w:rPr>
        <w:t>,</w:t>
      </w:r>
    </w:p>
    <w:p w14:paraId="4CA94DFB" w14:textId="4F91C148" w:rsidR="00D83A76" w:rsidRPr="00D73BAD" w:rsidRDefault="00000000">
      <w:pPr>
        <w:pStyle w:val="Gvdemetni0"/>
        <w:jc w:val="both"/>
        <w:rPr>
          <w:lang w:val="en-US"/>
        </w:rPr>
      </w:pPr>
      <w:r w:rsidRPr="00D73BAD">
        <w:rPr>
          <w:b/>
          <w:bCs/>
          <w:lang w:val="en-US"/>
        </w:rPr>
        <w:lastRenderedPageBreak/>
        <w:t xml:space="preserve">ğ) </w:t>
      </w:r>
      <w:r w:rsidR="008A159C" w:rsidRPr="00D73BAD">
        <w:rPr>
          <w:b/>
          <w:bCs/>
          <w:lang w:val="en-US"/>
        </w:rPr>
        <w:t>Student</w:t>
      </w:r>
      <w:r w:rsidRPr="00D73BAD">
        <w:rPr>
          <w:b/>
          <w:bCs/>
          <w:lang w:val="en-US"/>
        </w:rPr>
        <w:t xml:space="preserve">: </w:t>
      </w:r>
      <w:r w:rsidR="008A159C" w:rsidRPr="00D73BAD">
        <w:rPr>
          <w:lang w:val="en-US"/>
        </w:rPr>
        <w:t>Foreign students registered at Fenerbahçe University</w:t>
      </w:r>
      <w:r w:rsidRPr="00D73BAD">
        <w:rPr>
          <w:lang w:val="en-US"/>
        </w:rPr>
        <w:t>,</w:t>
      </w:r>
    </w:p>
    <w:p w14:paraId="16216CCE" w14:textId="5946F5F0" w:rsidR="00D83A76" w:rsidRPr="00D73BAD" w:rsidRDefault="008A159C">
      <w:pPr>
        <w:pStyle w:val="Gvdemetni0"/>
        <w:numPr>
          <w:ilvl w:val="0"/>
          <w:numId w:val="2"/>
        </w:numPr>
        <w:tabs>
          <w:tab w:val="left" w:pos="392"/>
        </w:tabs>
        <w:jc w:val="both"/>
        <w:rPr>
          <w:lang w:val="en-US"/>
        </w:rPr>
      </w:pPr>
      <w:r w:rsidRPr="00D73BAD">
        <w:rPr>
          <w:b/>
          <w:bCs/>
          <w:lang w:val="en-US"/>
        </w:rPr>
        <w:t>Rector</w:t>
      </w:r>
      <w:r w:rsidR="00000000" w:rsidRPr="00D73BAD">
        <w:rPr>
          <w:b/>
          <w:bCs/>
          <w:lang w:val="en-US"/>
        </w:rPr>
        <w:t xml:space="preserve">: </w:t>
      </w:r>
      <w:r w:rsidRPr="00D73BAD">
        <w:rPr>
          <w:lang w:val="en-US"/>
        </w:rPr>
        <w:t>Rector of Fenerbahçe University</w:t>
      </w:r>
      <w:r w:rsidR="00000000" w:rsidRPr="00D73BAD">
        <w:rPr>
          <w:lang w:val="en-US"/>
        </w:rPr>
        <w:t>,</w:t>
      </w:r>
    </w:p>
    <w:p w14:paraId="1B57CD6A" w14:textId="4A95FA1B" w:rsidR="00D83A76" w:rsidRPr="00D73BAD" w:rsidRDefault="00000000">
      <w:pPr>
        <w:pStyle w:val="Gvdemetni0"/>
        <w:jc w:val="both"/>
        <w:rPr>
          <w:lang w:val="en-US"/>
        </w:rPr>
      </w:pPr>
      <w:r w:rsidRPr="00D73BAD">
        <w:rPr>
          <w:b/>
          <w:bCs/>
          <w:lang w:val="en-US"/>
        </w:rPr>
        <w:t xml:space="preserve">ı) </w:t>
      </w:r>
      <w:r w:rsidR="008A159C" w:rsidRPr="00D73BAD">
        <w:rPr>
          <w:b/>
          <w:bCs/>
          <w:lang w:val="en-US" w:eastAsia="en-US"/>
        </w:rPr>
        <w:t>Senate</w:t>
      </w:r>
      <w:r w:rsidRPr="00D73BAD">
        <w:rPr>
          <w:b/>
          <w:bCs/>
          <w:lang w:val="en-US" w:eastAsia="en-US" w:bidi="en-US"/>
        </w:rPr>
        <w:t xml:space="preserve">: </w:t>
      </w:r>
      <w:r w:rsidR="008A159C" w:rsidRPr="00D73BAD">
        <w:rPr>
          <w:lang w:val="en-US"/>
        </w:rPr>
        <w:t>Senate of Fenerbahçe University</w:t>
      </w:r>
      <w:r w:rsidRPr="00D73BAD">
        <w:rPr>
          <w:lang w:val="en-US" w:eastAsia="en-US" w:bidi="en-US"/>
        </w:rPr>
        <w:t>,</w:t>
      </w:r>
    </w:p>
    <w:p w14:paraId="1270264A" w14:textId="4425089A" w:rsidR="00D83A76" w:rsidRPr="00D73BAD" w:rsidRDefault="008A159C">
      <w:pPr>
        <w:pStyle w:val="Gvdemetni0"/>
        <w:numPr>
          <w:ilvl w:val="0"/>
          <w:numId w:val="2"/>
        </w:numPr>
        <w:tabs>
          <w:tab w:val="left" w:pos="339"/>
        </w:tabs>
        <w:jc w:val="both"/>
        <w:rPr>
          <w:lang w:val="en-US"/>
        </w:rPr>
      </w:pPr>
      <w:r w:rsidRPr="00D73BAD">
        <w:rPr>
          <w:b/>
          <w:bCs/>
          <w:lang w:val="en-US"/>
        </w:rPr>
        <w:t>Turkish Language Certificate</w:t>
      </w:r>
      <w:r w:rsidR="00000000" w:rsidRPr="00D73BAD">
        <w:rPr>
          <w:b/>
          <w:bCs/>
          <w:lang w:val="en-US" w:eastAsia="en-US" w:bidi="en-US"/>
        </w:rPr>
        <w:t xml:space="preserve">: </w:t>
      </w:r>
      <w:r w:rsidRPr="00D73BAD">
        <w:rPr>
          <w:lang w:val="en-US"/>
        </w:rPr>
        <w:t>Language certificate issued to students who are determined to have B2 and above language proficiency in the Turkish Level Determination Exam or to students/trainees who have completed the Turkish Language Course with B2 and above language proficiency</w:t>
      </w:r>
      <w:r w:rsidRPr="00D73BAD">
        <w:rPr>
          <w:lang w:val="en-US"/>
        </w:rPr>
        <w:t>,</w:t>
      </w:r>
      <w:r w:rsidRPr="00D73BAD">
        <w:rPr>
          <w:lang w:val="en-US" w:eastAsia="en-US" w:bidi="en-US"/>
        </w:rPr>
        <w:t xml:space="preserve"> </w:t>
      </w:r>
    </w:p>
    <w:p w14:paraId="7379A2FF" w14:textId="56AB7E71" w:rsidR="00D83A76" w:rsidRPr="00D73BAD" w:rsidRDefault="008A159C">
      <w:pPr>
        <w:pStyle w:val="Gvdemetni0"/>
        <w:numPr>
          <w:ilvl w:val="0"/>
          <w:numId w:val="2"/>
        </w:numPr>
        <w:tabs>
          <w:tab w:val="left" w:pos="354"/>
        </w:tabs>
        <w:jc w:val="both"/>
        <w:rPr>
          <w:lang w:val="en-US"/>
        </w:rPr>
      </w:pPr>
      <w:r w:rsidRPr="00D73BAD">
        <w:rPr>
          <w:b/>
          <w:bCs/>
          <w:lang w:val="en-US"/>
        </w:rPr>
        <w:t>Turkish Language Course</w:t>
      </w:r>
      <w:r w:rsidR="00000000" w:rsidRPr="00D73BAD">
        <w:rPr>
          <w:b/>
          <w:bCs/>
          <w:lang w:val="en-US" w:eastAsia="en-US" w:bidi="en-US"/>
        </w:rPr>
        <w:t xml:space="preserve">: </w:t>
      </w:r>
      <w:r w:rsidRPr="00D73BAD">
        <w:rPr>
          <w:lang w:val="en-US"/>
        </w:rPr>
        <w:t>Courses opened by Fenerbahçe University Turkish Teaching Application and Research Center</w:t>
      </w:r>
      <w:r w:rsidRPr="00D73BAD">
        <w:rPr>
          <w:lang w:val="en-US"/>
        </w:rPr>
        <w:t xml:space="preserve"> </w:t>
      </w:r>
    </w:p>
    <w:p w14:paraId="1C6F00BB" w14:textId="7D36983E" w:rsidR="00D83A76" w:rsidRPr="00D73BAD" w:rsidRDefault="008A159C">
      <w:pPr>
        <w:pStyle w:val="Gvdemetni0"/>
        <w:numPr>
          <w:ilvl w:val="0"/>
          <w:numId w:val="2"/>
        </w:numPr>
        <w:tabs>
          <w:tab w:val="left" w:pos="402"/>
        </w:tabs>
        <w:jc w:val="both"/>
        <w:rPr>
          <w:lang w:val="en-US"/>
        </w:rPr>
      </w:pPr>
      <w:r w:rsidRPr="00D73BAD">
        <w:rPr>
          <w:b/>
          <w:bCs/>
          <w:lang w:val="en-US"/>
        </w:rPr>
        <w:t xml:space="preserve">Turkish Language </w:t>
      </w:r>
      <w:r w:rsidRPr="00D73BAD">
        <w:rPr>
          <w:b/>
          <w:bCs/>
          <w:lang w:val="en-US"/>
        </w:rPr>
        <w:t>Course</w:t>
      </w:r>
      <w:r w:rsidRPr="00D73BAD">
        <w:rPr>
          <w:b/>
          <w:bCs/>
          <w:lang w:val="en-US"/>
        </w:rPr>
        <w:t xml:space="preserve"> Certificate of Participation:</w:t>
      </w:r>
      <w:r w:rsidR="00000000" w:rsidRPr="00D73BAD">
        <w:rPr>
          <w:b/>
          <w:bCs/>
          <w:lang w:val="en-US" w:eastAsia="en-US" w:bidi="en-US"/>
        </w:rPr>
        <w:t xml:space="preserve"> </w:t>
      </w:r>
      <w:r w:rsidRPr="00D73BAD">
        <w:rPr>
          <w:lang w:val="en-US" w:eastAsia="en-US"/>
        </w:rPr>
        <w:t xml:space="preserve">The document given to the trainee who attended at least 80% of the courses carried out by the Center but did not pass the </w:t>
      </w:r>
      <w:r w:rsidR="00A3085C" w:rsidRPr="00D73BAD">
        <w:rPr>
          <w:lang w:val="en-US" w:eastAsia="en-US"/>
        </w:rPr>
        <w:t>minimum</w:t>
      </w:r>
      <w:r w:rsidRPr="00D73BAD">
        <w:rPr>
          <w:lang w:val="en-US" w:eastAsia="en-US"/>
        </w:rPr>
        <w:t xml:space="preserve"> grade to complete the module he/she was trained in</w:t>
      </w:r>
      <w:r w:rsidRPr="00D73BAD">
        <w:rPr>
          <w:lang w:val="en-US" w:eastAsia="en-US"/>
        </w:rPr>
        <w:t>,</w:t>
      </w:r>
    </w:p>
    <w:p w14:paraId="697BD595" w14:textId="725F8962" w:rsidR="00D83A76" w:rsidRPr="00D73BAD" w:rsidRDefault="008A159C">
      <w:pPr>
        <w:pStyle w:val="Gvdemetni0"/>
        <w:numPr>
          <w:ilvl w:val="0"/>
          <w:numId w:val="2"/>
        </w:numPr>
        <w:tabs>
          <w:tab w:val="left" w:pos="339"/>
        </w:tabs>
        <w:jc w:val="both"/>
        <w:rPr>
          <w:lang w:val="en-US"/>
        </w:rPr>
      </w:pPr>
      <w:r w:rsidRPr="00D73BAD">
        <w:rPr>
          <w:b/>
          <w:bCs/>
          <w:lang w:val="en-US"/>
        </w:rPr>
        <w:t>Turkish Level Certificate</w:t>
      </w:r>
      <w:r w:rsidR="00000000" w:rsidRPr="00D73BAD">
        <w:rPr>
          <w:b/>
          <w:bCs/>
          <w:lang w:val="en-US" w:eastAsia="en-US" w:bidi="en-US"/>
        </w:rPr>
        <w:t xml:space="preserve">: </w:t>
      </w:r>
      <w:r w:rsidRPr="00D73BAD">
        <w:rPr>
          <w:lang w:val="en-US" w:eastAsia="en-US"/>
        </w:rPr>
        <w:t>The certificate showing the level of Turkish language issued to the trainee, who is successful at A1, A2 and B1 levels, with information about the four basic language skills of the trainee (reading, listening, speaking and writing),</w:t>
      </w:r>
    </w:p>
    <w:p w14:paraId="1E4B85A7" w14:textId="0C5DDD64" w:rsidR="008A159C" w:rsidRPr="00D73BAD" w:rsidRDefault="008A159C">
      <w:pPr>
        <w:pStyle w:val="Gvdemetni0"/>
        <w:numPr>
          <w:ilvl w:val="0"/>
          <w:numId w:val="2"/>
        </w:numPr>
        <w:tabs>
          <w:tab w:val="left" w:pos="459"/>
        </w:tabs>
        <w:jc w:val="both"/>
        <w:rPr>
          <w:lang w:val="en-US"/>
        </w:rPr>
      </w:pPr>
      <w:r w:rsidRPr="00D73BAD">
        <w:rPr>
          <w:b/>
          <w:bCs/>
          <w:lang w:val="en-US"/>
        </w:rPr>
        <w:t>Turkish Level Determination Exam</w:t>
      </w:r>
      <w:r w:rsidR="00000000" w:rsidRPr="00D73BAD">
        <w:rPr>
          <w:b/>
          <w:bCs/>
          <w:lang w:val="en-US"/>
        </w:rPr>
        <w:t xml:space="preserve">: </w:t>
      </w:r>
      <w:r w:rsidRPr="00D73BAD">
        <w:rPr>
          <w:lang w:val="en-US"/>
        </w:rPr>
        <w:t>The exam that determines the student's/trainee's Turkish language level</w:t>
      </w:r>
      <w:r w:rsidRPr="00D73BAD">
        <w:rPr>
          <w:lang w:val="en-US"/>
        </w:rPr>
        <w:t>,</w:t>
      </w:r>
    </w:p>
    <w:p w14:paraId="4EBD9230" w14:textId="3AB4A674" w:rsidR="00D83A76" w:rsidRPr="00D73BAD" w:rsidRDefault="008A159C">
      <w:pPr>
        <w:pStyle w:val="Gvdemetni0"/>
        <w:numPr>
          <w:ilvl w:val="0"/>
          <w:numId w:val="2"/>
        </w:numPr>
        <w:tabs>
          <w:tab w:val="left" w:pos="459"/>
        </w:tabs>
        <w:jc w:val="both"/>
        <w:rPr>
          <w:lang w:val="en-US"/>
        </w:rPr>
      </w:pPr>
      <w:r w:rsidRPr="00D73BAD">
        <w:rPr>
          <w:b/>
          <w:bCs/>
          <w:lang w:val="en-US"/>
        </w:rPr>
        <w:t>Turkish Proficiency Certificate</w:t>
      </w:r>
      <w:r w:rsidR="00000000" w:rsidRPr="00D73BAD">
        <w:rPr>
          <w:b/>
          <w:bCs/>
          <w:lang w:val="en-US"/>
        </w:rPr>
        <w:t xml:space="preserve">: </w:t>
      </w:r>
      <w:r w:rsidR="00B70E08" w:rsidRPr="00D73BAD">
        <w:rPr>
          <w:lang w:val="en-US"/>
        </w:rPr>
        <w:t xml:space="preserve">Certificate showing the success level according to the letter grade corresponding to the success </w:t>
      </w:r>
      <w:r w:rsidR="00A3085C" w:rsidRPr="00D73BAD">
        <w:rPr>
          <w:lang w:val="en-US"/>
        </w:rPr>
        <w:t>grade</w:t>
      </w:r>
      <w:r w:rsidR="00B70E08" w:rsidRPr="00D73BAD">
        <w:rPr>
          <w:lang w:val="en-US"/>
        </w:rPr>
        <w:t xml:space="preserve"> of the candidate who participated in the exam as a result of the Turkish Proficiency Exam</w:t>
      </w:r>
      <w:r w:rsidR="00B70E08" w:rsidRPr="00D73BAD">
        <w:rPr>
          <w:lang w:val="en-US"/>
        </w:rPr>
        <w:t>,</w:t>
      </w:r>
    </w:p>
    <w:p w14:paraId="599E2C34" w14:textId="20406119" w:rsidR="00D83A76" w:rsidRPr="00D73BAD" w:rsidRDefault="00B70E08">
      <w:pPr>
        <w:pStyle w:val="Gvdemetni0"/>
        <w:numPr>
          <w:ilvl w:val="0"/>
          <w:numId w:val="3"/>
        </w:numPr>
        <w:tabs>
          <w:tab w:val="left" w:pos="392"/>
        </w:tabs>
        <w:jc w:val="both"/>
        <w:rPr>
          <w:lang w:val="en-US"/>
        </w:rPr>
      </w:pPr>
      <w:r w:rsidRPr="00D73BAD">
        <w:rPr>
          <w:b/>
          <w:bCs/>
          <w:lang w:val="en-US"/>
        </w:rPr>
        <w:t>Turkish Proficiency Exam</w:t>
      </w:r>
      <w:r w:rsidR="00000000" w:rsidRPr="00D73BAD">
        <w:rPr>
          <w:b/>
          <w:bCs/>
          <w:lang w:val="en-US"/>
        </w:rPr>
        <w:t xml:space="preserve">: </w:t>
      </w:r>
      <w:r w:rsidRPr="00D73BAD">
        <w:rPr>
          <w:lang w:val="en-US"/>
        </w:rPr>
        <w:t>The exam measuring the Turkish language proficiency of the student, trainee or applicants</w:t>
      </w:r>
      <w:r w:rsidRPr="00D73BAD">
        <w:rPr>
          <w:lang w:val="en-US"/>
        </w:rPr>
        <w:t>,</w:t>
      </w:r>
    </w:p>
    <w:p w14:paraId="2412AEE5" w14:textId="06D9B480" w:rsidR="00D83A76" w:rsidRPr="00D73BAD" w:rsidRDefault="00000000">
      <w:pPr>
        <w:pStyle w:val="Gvdemetni0"/>
        <w:jc w:val="both"/>
        <w:rPr>
          <w:lang w:val="en-US"/>
        </w:rPr>
      </w:pPr>
      <w:r w:rsidRPr="00D73BAD">
        <w:rPr>
          <w:b/>
          <w:bCs/>
          <w:lang w:val="en-US"/>
        </w:rPr>
        <w:t xml:space="preserve">ö) </w:t>
      </w:r>
      <w:r w:rsidR="00B70E08" w:rsidRPr="00D73BAD">
        <w:rPr>
          <w:b/>
          <w:bCs/>
          <w:lang w:val="en-US"/>
        </w:rPr>
        <w:t>Directorate of International Affairs</w:t>
      </w:r>
      <w:r w:rsidRPr="00D73BAD">
        <w:rPr>
          <w:b/>
          <w:bCs/>
          <w:lang w:val="en-US"/>
        </w:rPr>
        <w:t xml:space="preserve">: </w:t>
      </w:r>
      <w:r w:rsidR="00B70E08" w:rsidRPr="00D73BAD">
        <w:rPr>
          <w:lang w:val="en-US"/>
        </w:rPr>
        <w:t>Directorate of International Relations of Fenerbahçe University,</w:t>
      </w:r>
    </w:p>
    <w:p w14:paraId="7BCC3F29" w14:textId="35CE55D8" w:rsidR="00D83A76" w:rsidRPr="00D73BAD" w:rsidRDefault="00B70E08">
      <w:pPr>
        <w:pStyle w:val="Gvdemetni0"/>
        <w:numPr>
          <w:ilvl w:val="0"/>
          <w:numId w:val="3"/>
        </w:numPr>
        <w:tabs>
          <w:tab w:val="left" w:pos="397"/>
        </w:tabs>
        <w:jc w:val="both"/>
        <w:rPr>
          <w:lang w:val="en-US"/>
        </w:rPr>
      </w:pPr>
      <w:r w:rsidRPr="00D73BAD">
        <w:rPr>
          <w:b/>
          <w:bCs/>
          <w:lang w:val="en-US"/>
        </w:rPr>
        <w:t>University</w:t>
      </w:r>
      <w:r w:rsidR="00000000" w:rsidRPr="00D73BAD">
        <w:rPr>
          <w:b/>
          <w:bCs/>
          <w:lang w:val="en-US"/>
        </w:rPr>
        <w:t xml:space="preserve">: </w:t>
      </w:r>
      <w:r w:rsidR="00000000" w:rsidRPr="00D73BAD">
        <w:rPr>
          <w:lang w:val="en-US"/>
        </w:rPr>
        <w:t xml:space="preserve">Fenerbahçe </w:t>
      </w:r>
      <w:r w:rsidRPr="00D73BAD">
        <w:rPr>
          <w:lang w:val="en-US"/>
        </w:rPr>
        <w:t>University</w:t>
      </w:r>
      <w:r w:rsidR="00000000" w:rsidRPr="00D73BAD">
        <w:rPr>
          <w:lang w:val="en-US"/>
        </w:rPr>
        <w:t>,</w:t>
      </w:r>
    </w:p>
    <w:p w14:paraId="659FFC08" w14:textId="1A0909B3" w:rsidR="00D83A76" w:rsidRPr="00D73BAD" w:rsidRDefault="00000000">
      <w:pPr>
        <w:pStyle w:val="Gvdemetni0"/>
        <w:jc w:val="both"/>
        <w:rPr>
          <w:lang w:val="en-US"/>
        </w:rPr>
      </w:pPr>
      <w:r w:rsidRPr="00D73BAD">
        <w:rPr>
          <w:b/>
          <w:bCs/>
          <w:lang w:val="en-US" w:eastAsia="en-US" w:bidi="en-US"/>
        </w:rPr>
        <w:t xml:space="preserve">r) </w:t>
      </w:r>
      <w:r w:rsidR="00B70E08" w:rsidRPr="00D73BAD">
        <w:rPr>
          <w:b/>
          <w:bCs/>
          <w:lang w:val="en-US"/>
        </w:rPr>
        <w:t>Council of Higher Education</w:t>
      </w:r>
      <w:r w:rsidRPr="00D73BAD">
        <w:rPr>
          <w:b/>
          <w:bCs/>
          <w:lang w:val="en-US" w:eastAsia="en-US" w:bidi="en-US"/>
        </w:rPr>
        <w:t xml:space="preserve">: </w:t>
      </w:r>
      <w:r w:rsidR="00B70E08" w:rsidRPr="00D73BAD">
        <w:rPr>
          <w:lang w:val="en-US"/>
        </w:rPr>
        <w:t>Council of Higher Education</w:t>
      </w:r>
      <w:r w:rsidRPr="00D73BAD">
        <w:rPr>
          <w:lang w:val="en-US" w:eastAsia="en-US" w:bidi="en-US"/>
        </w:rPr>
        <w:t>,</w:t>
      </w:r>
    </w:p>
    <w:p w14:paraId="4594ADBA" w14:textId="2699E53B" w:rsidR="00D83A76" w:rsidRPr="00D73BAD" w:rsidRDefault="00000000">
      <w:pPr>
        <w:pStyle w:val="Gvdemetni0"/>
        <w:spacing w:after="260"/>
        <w:jc w:val="both"/>
        <w:rPr>
          <w:lang w:val="en-US"/>
        </w:rPr>
      </w:pPr>
      <w:r w:rsidRPr="00D73BAD">
        <w:rPr>
          <w:b/>
          <w:bCs/>
          <w:lang w:val="en-US" w:eastAsia="en-US" w:bidi="en-US"/>
        </w:rPr>
        <w:t xml:space="preserve">s) </w:t>
      </w:r>
      <w:r w:rsidR="00B70E08" w:rsidRPr="00D73BAD">
        <w:rPr>
          <w:b/>
          <w:bCs/>
          <w:lang w:val="en-US"/>
        </w:rPr>
        <w:t>Board of Directors</w:t>
      </w:r>
      <w:r w:rsidRPr="00D73BAD">
        <w:rPr>
          <w:b/>
          <w:bCs/>
          <w:lang w:val="en-US" w:eastAsia="en-US" w:bidi="en-US"/>
        </w:rPr>
        <w:t xml:space="preserve">: </w:t>
      </w:r>
      <w:r w:rsidR="00B70E08" w:rsidRPr="00D73BAD">
        <w:rPr>
          <w:lang w:val="en-US"/>
        </w:rPr>
        <w:t>Fenerbahce University Board of Directors</w:t>
      </w:r>
      <w:r w:rsidR="00B70E08" w:rsidRPr="00D73BAD">
        <w:rPr>
          <w:lang w:val="en-US"/>
        </w:rPr>
        <w:t>.</w:t>
      </w:r>
    </w:p>
    <w:p w14:paraId="73D984D8" w14:textId="15DC5CE1" w:rsidR="00D83A76" w:rsidRPr="00D73BAD" w:rsidRDefault="00B17111">
      <w:pPr>
        <w:pStyle w:val="Balk10"/>
        <w:keepNext/>
        <w:keepLines/>
        <w:jc w:val="both"/>
        <w:rPr>
          <w:lang w:val="en-US"/>
        </w:rPr>
      </w:pPr>
      <w:bookmarkStart w:id="2" w:name="bookmark15"/>
      <w:r w:rsidRPr="00D73BAD">
        <w:rPr>
          <w:lang w:val="en-US"/>
        </w:rPr>
        <w:t>Purpose of Turkish Language Course</w:t>
      </w:r>
      <w:r w:rsidRPr="00D73BAD">
        <w:rPr>
          <w:lang w:val="en-US"/>
        </w:rPr>
        <w:t xml:space="preserve"> </w:t>
      </w:r>
      <w:bookmarkEnd w:id="2"/>
    </w:p>
    <w:p w14:paraId="7ACA4F39" w14:textId="13D9D8A0" w:rsidR="00D83A76" w:rsidRPr="00D73BAD" w:rsidRDefault="001C603D">
      <w:pPr>
        <w:pStyle w:val="Gvdemetni0"/>
        <w:spacing w:after="260"/>
        <w:jc w:val="both"/>
        <w:rPr>
          <w:lang w:val="en-US"/>
        </w:rPr>
      </w:pPr>
      <w:r w:rsidRPr="00D73BAD">
        <w:rPr>
          <w:b/>
          <w:bCs/>
          <w:lang w:val="en-US" w:eastAsia="en-US" w:bidi="en-US"/>
        </w:rPr>
        <w:t xml:space="preserve">ARTICLE </w:t>
      </w:r>
      <w:r w:rsidR="00000000" w:rsidRPr="00D73BAD">
        <w:rPr>
          <w:b/>
          <w:bCs/>
          <w:lang w:val="en-US" w:eastAsia="en-US" w:bidi="en-US"/>
        </w:rPr>
        <w:t xml:space="preserve">5- </w:t>
      </w:r>
      <w:r w:rsidR="00000000" w:rsidRPr="00D73BAD">
        <w:rPr>
          <w:lang w:val="en-US" w:eastAsia="en-US" w:bidi="en-US"/>
        </w:rPr>
        <w:t xml:space="preserve">(1) </w:t>
      </w:r>
      <w:r w:rsidR="00B17111" w:rsidRPr="00D73BAD">
        <w:rPr>
          <w:lang w:val="en-US"/>
        </w:rPr>
        <w:t>The purpose of the educational activities carried out in the Turkish Language Course is to provide foreign students/trainees with the level of proficiency and competence to study in the Turkish language in the associate degree and bachelor's degree programs of the University. Apart from university students and trainees, the Center aims to teach Turkish to foreign nationals who want to learn Turkish and to promote Turkish culture and Turkey</w:t>
      </w:r>
      <w:r w:rsidR="00000000" w:rsidRPr="00D73BAD">
        <w:rPr>
          <w:lang w:val="en-US"/>
        </w:rPr>
        <w:t>.</w:t>
      </w:r>
    </w:p>
    <w:p w14:paraId="3E4E282E" w14:textId="5AA645D1" w:rsidR="00D83A76" w:rsidRPr="00D73BAD" w:rsidRDefault="00B17111">
      <w:pPr>
        <w:pStyle w:val="Gvdemetni0"/>
        <w:jc w:val="center"/>
        <w:rPr>
          <w:lang w:val="en-US"/>
        </w:rPr>
      </w:pPr>
      <w:r w:rsidRPr="00D73BAD">
        <w:rPr>
          <w:b/>
          <w:bCs/>
          <w:lang w:val="en-US"/>
        </w:rPr>
        <w:t>PART TWO</w:t>
      </w:r>
    </w:p>
    <w:p w14:paraId="57684AE5" w14:textId="67669651" w:rsidR="00D83A76" w:rsidRPr="00D73BAD" w:rsidRDefault="00B17111">
      <w:pPr>
        <w:pStyle w:val="Gvdemetni0"/>
        <w:spacing w:after="260"/>
        <w:jc w:val="center"/>
        <w:rPr>
          <w:lang w:val="en-US"/>
        </w:rPr>
      </w:pPr>
      <w:r w:rsidRPr="00D73BAD">
        <w:rPr>
          <w:b/>
          <w:bCs/>
          <w:lang w:val="en-US"/>
        </w:rPr>
        <w:t>Turkish Language Course Principles Regarding Education and T</w:t>
      </w:r>
      <w:r w:rsidRPr="00D73BAD">
        <w:rPr>
          <w:b/>
          <w:bCs/>
          <w:lang w:val="en-US"/>
        </w:rPr>
        <w:t>raining</w:t>
      </w:r>
    </w:p>
    <w:p w14:paraId="570E1964" w14:textId="13660D0E" w:rsidR="00D83A76" w:rsidRPr="00D73BAD" w:rsidRDefault="00B17111">
      <w:pPr>
        <w:pStyle w:val="Gvdemetni0"/>
        <w:jc w:val="both"/>
        <w:rPr>
          <w:lang w:val="en-US"/>
        </w:rPr>
      </w:pPr>
      <w:r w:rsidRPr="00D73BAD">
        <w:rPr>
          <w:b/>
          <w:bCs/>
          <w:lang w:val="en-US"/>
        </w:rPr>
        <w:t>Academic Period and Academic Calendar</w:t>
      </w:r>
      <w:r w:rsidRPr="00D73BAD">
        <w:rPr>
          <w:b/>
          <w:bCs/>
          <w:lang w:val="en-US"/>
        </w:rPr>
        <w:t xml:space="preserve">  </w:t>
      </w:r>
    </w:p>
    <w:p w14:paraId="52F1083D" w14:textId="54814D84" w:rsidR="00D83A76" w:rsidRPr="00D73BAD" w:rsidRDefault="001C603D">
      <w:pPr>
        <w:pStyle w:val="Gvdemetni0"/>
        <w:jc w:val="both"/>
        <w:rPr>
          <w:lang w:val="en-US"/>
        </w:rPr>
      </w:pPr>
      <w:r w:rsidRPr="00D73BAD">
        <w:rPr>
          <w:b/>
          <w:bCs/>
          <w:lang w:val="en-US" w:eastAsia="en-US" w:bidi="en-US"/>
        </w:rPr>
        <w:t xml:space="preserve">ARTICLE </w:t>
      </w:r>
      <w:r w:rsidR="00000000" w:rsidRPr="00D73BAD">
        <w:rPr>
          <w:b/>
          <w:bCs/>
          <w:lang w:val="en-US" w:eastAsia="en-US" w:bidi="en-US"/>
        </w:rPr>
        <w:t xml:space="preserve">6- </w:t>
      </w:r>
      <w:r w:rsidR="00000000" w:rsidRPr="00D73BAD">
        <w:rPr>
          <w:lang w:val="en-US" w:eastAsia="en-US" w:bidi="en-US"/>
        </w:rPr>
        <w:t xml:space="preserve">(1) </w:t>
      </w:r>
      <w:r w:rsidR="00904617" w:rsidRPr="00D73BAD">
        <w:rPr>
          <w:lang w:val="en-US" w:eastAsia="en-US" w:bidi="en-US"/>
        </w:rPr>
        <w:t>A teaching period consists of 5 (five) modules lasting 25 (twenty-five) weeks, excluding final exams.</w:t>
      </w:r>
      <w:r w:rsidR="00904617" w:rsidRPr="00D73BAD">
        <w:rPr>
          <w:lang w:val="en-US" w:eastAsia="en-US" w:bidi="en-US"/>
        </w:rPr>
        <w:t xml:space="preserve"> </w:t>
      </w:r>
      <w:r w:rsidR="00904617" w:rsidRPr="00D73BAD">
        <w:rPr>
          <w:lang w:val="en-US" w:eastAsia="en-US"/>
        </w:rPr>
        <w:t xml:space="preserve">Each module covers 5 (five) weeks excluding the final exam. </w:t>
      </w:r>
      <w:r w:rsidR="00904617" w:rsidRPr="00D73BAD">
        <w:rPr>
          <w:lang w:val="en-US" w:eastAsia="en-US"/>
        </w:rPr>
        <w:t xml:space="preserve">Weekly </w:t>
      </w:r>
      <w:r w:rsidR="00904617" w:rsidRPr="00D73BAD">
        <w:rPr>
          <w:lang w:val="en-US"/>
        </w:rPr>
        <w:t>course hours are arranged as at least 20 (twenty) hours</w:t>
      </w:r>
    </w:p>
    <w:p w14:paraId="266C358E" w14:textId="204F3F36" w:rsidR="00904617" w:rsidRPr="00D73BAD" w:rsidRDefault="00000000" w:rsidP="00904617">
      <w:pPr>
        <w:pStyle w:val="Gvdemetni0"/>
        <w:jc w:val="both"/>
        <w:rPr>
          <w:lang w:val="en-US"/>
        </w:rPr>
      </w:pPr>
      <w:r w:rsidRPr="00D73BAD">
        <w:rPr>
          <w:lang w:val="en-US" w:eastAsia="en-US" w:bidi="en-US"/>
        </w:rPr>
        <w:t xml:space="preserve">(2) </w:t>
      </w:r>
      <w:r w:rsidR="00904617" w:rsidRPr="00D73BAD">
        <w:rPr>
          <w:lang w:val="en-US" w:eastAsia="en-US"/>
        </w:rPr>
        <w:t xml:space="preserve">Duration and dates of enrollment, exams and similar activities in a teaching period are shown </w:t>
      </w:r>
      <w:r w:rsidR="00904617" w:rsidRPr="00D73BAD">
        <w:rPr>
          <w:lang w:val="en-US" w:eastAsia="en-US"/>
        </w:rPr>
        <w:lastRenderedPageBreak/>
        <w:t>on the academic calendar. Turkish Teaching Application and Research Center academic calendar may differ from Associate Degree and Undergraduate Education Regulation academic calendar.</w:t>
      </w:r>
      <w:r w:rsidR="00904617" w:rsidRPr="00D73BAD">
        <w:rPr>
          <w:lang w:val="en-US"/>
        </w:rPr>
        <w:t xml:space="preserve"> </w:t>
      </w:r>
      <w:r w:rsidR="00904617" w:rsidRPr="00D73BAD">
        <w:rPr>
          <w:lang w:val="en-US"/>
        </w:rPr>
        <w:t>The academic calendar is finalized with the Rector's proposal and the approval of the Senate. The Senate may delegate authority to the Rector to make partial changes to the academic calendar in case of emergency, provided that its boundaries are clearly set</w:t>
      </w:r>
      <w:r w:rsidR="00904617" w:rsidRPr="00D73BAD">
        <w:rPr>
          <w:lang w:val="en-US"/>
        </w:rPr>
        <w:t>.</w:t>
      </w:r>
    </w:p>
    <w:p w14:paraId="04B5FA1E" w14:textId="3F26ED6C" w:rsidR="00D83A76" w:rsidRPr="00D73BAD" w:rsidRDefault="00000000" w:rsidP="00904617">
      <w:pPr>
        <w:pStyle w:val="Gvdemetni0"/>
        <w:jc w:val="both"/>
        <w:rPr>
          <w:lang w:val="en-US"/>
        </w:rPr>
      </w:pPr>
      <w:r w:rsidRPr="00D73BAD">
        <w:rPr>
          <w:lang w:val="en-US" w:eastAsia="en-US" w:bidi="en-US"/>
        </w:rPr>
        <w:t xml:space="preserve">(3) </w:t>
      </w:r>
      <w:r w:rsidR="00904617" w:rsidRPr="00D73BAD">
        <w:rPr>
          <w:lang w:val="en-US" w:eastAsia="en-US"/>
        </w:rPr>
        <w:t>The teaching activities and exams of the language courses opened by the Center may also be held after the end of weekdays working hours and/or on Saturdays and Sundays, if necessary, with the suggestions of the relevant boards and the approval of the Rectorate</w:t>
      </w:r>
      <w:r w:rsidRPr="00D73BAD">
        <w:rPr>
          <w:lang w:val="en-US"/>
        </w:rPr>
        <w:t>.</w:t>
      </w:r>
    </w:p>
    <w:p w14:paraId="7589B28E" w14:textId="77777777" w:rsidR="00904617" w:rsidRPr="00D73BAD" w:rsidRDefault="00904617" w:rsidP="00904617">
      <w:pPr>
        <w:pStyle w:val="Gvdemetni0"/>
        <w:jc w:val="both"/>
        <w:rPr>
          <w:lang w:val="en-US"/>
        </w:rPr>
      </w:pPr>
    </w:p>
    <w:p w14:paraId="544904F9" w14:textId="6D73FF80" w:rsidR="00D83A76" w:rsidRPr="00D73BAD" w:rsidRDefault="00387F39">
      <w:pPr>
        <w:pStyle w:val="Balk10"/>
        <w:keepNext/>
        <w:keepLines/>
        <w:jc w:val="both"/>
        <w:rPr>
          <w:lang w:val="en-US"/>
        </w:rPr>
      </w:pPr>
      <w:bookmarkStart w:id="3" w:name="bookmark17"/>
      <w:r w:rsidRPr="00D73BAD">
        <w:rPr>
          <w:lang w:val="en-US"/>
        </w:rPr>
        <w:t>Instruction Curriculum and Courses</w:t>
      </w:r>
      <w:r w:rsidRPr="00D73BAD">
        <w:rPr>
          <w:lang w:val="en-US"/>
        </w:rPr>
        <w:t xml:space="preserve"> </w:t>
      </w:r>
      <w:bookmarkEnd w:id="3"/>
    </w:p>
    <w:p w14:paraId="1050A784" w14:textId="04FDE12C" w:rsidR="00D83A76" w:rsidRPr="00D73BAD" w:rsidRDefault="001C603D">
      <w:pPr>
        <w:pStyle w:val="Gvdemetni0"/>
        <w:spacing w:after="260"/>
        <w:jc w:val="both"/>
        <w:rPr>
          <w:lang w:val="en-US"/>
        </w:rPr>
      </w:pPr>
      <w:r w:rsidRPr="00D73BAD">
        <w:rPr>
          <w:b/>
          <w:bCs/>
          <w:lang w:val="en-US" w:eastAsia="en-US" w:bidi="en-US"/>
        </w:rPr>
        <w:t xml:space="preserve">ARTICLE </w:t>
      </w:r>
      <w:r w:rsidR="00000000" w:rsidRPr="00D73BAD">
        <w:rPr>
          <w:b/>
          <w:bCs/>
          <w:lang w:val="en-US" w:eastAsia="en-US" w:bidi="en-US"/>
        </w:rPr>
        <w:t xml:space="preserve">7- </w:t>
      </w:r>
      <w:r w:rsidR="00000000" w:rsidRPr="00D73BAD">
        <w:rPr>
          <w:lang w:val="en-US" w:eastAsia="en-US" w:bidi="en-US"/>
        </w:rPr>
        <w:t xml:space="preserve">(1) </w:t>
      </w:r>
      <w:r w:rsidR="00387F39" w:rsidRPr="00D73BAD">
        <w:rPr>
          <w:lang w:val="en-US"/>
        </w:rPr>
        <w:t>Education in the Turkish Language Course consists of 5 (five) modules. Each module contains individual and/or combined levels at A1 (Beginner), A2 (Elementary), B1 (Pre</w:t>
      </w:r>
      <w:r w:rsidR="00387F39" w:rsidRPr="00D73BAD">
        <w:rPr>
          <w:lang w:val="en-US"/>
        </w:rPr>
        <w:t xml:space="preserve">Intermediate), B2 (Intermediate), C1 (Upper-Intermediate), C2 (Advanced) levels. The levels to be opened in each module are determined by the Central Board of </w:t>
      </w:r>
      <w:r w:rsidR="00387F39" w:rsidRPr="00D73BAD">
        <w:rPr>
          <w:lang w:val="en-US"/>
        </w:rPr>
        <w:t>Directors</w:t>
      </w:r>
      <w:r w:rsidR="00387F39" w:rsidRPr="00D73BAD">
        <w:rPr>
          <w:lang w:val="en-US"/>
        </w:rPr>
        <w:t xml:space="preserve">. </w:t>
      </w:r>
      <w:r w:rsidR="00387F39" w:rsidRPr="00D73BAD">
        <w:rPr>
          <w:lang w:val="en-US" w:eastAsia="en-US" w:bidi="en-US"/>
        </w:rPr>
        <w:t>The proposal of the Central Board of Directors to change the number and duration of modules, effective from the next academic year, taking into account academic needs and developments, is decided by the Senate.</w:t>
      </w:r>
    </w:p>
    <w:p w14:paraId="01372B61" w14:textId="4F98C08C" w:rsidR="00D83A76" w:rsidRPr="00D73BAD" w:rsidRDefault="00387F39">
      <w:pPr>
        <w:pStyle w:val="Balk10"/>
        <w:keepNext/>
        <w:keepLines/>
        <w:jc w:val="both"/>
        <w:rPr>
          <w:lang w:val="en-US"/>
        </w:rPr>
      </w:pPr>
      <w:r w:rsidRPr="00D73BAD">
        <w:rPr>
          <w:lang w:val="en-US"/>
        </w:rPr>
        <w:t>Exams</w:t>
      </w:r>
    </w:p>
    <w:p w14:paraId="3C87D319" w14:textId="6C45DF68" w:rsidR="00D83A76" w:rsidRPr="00D73BAD" w:rsidRDefault="001C603D">
      <w:pPr>
        <w:pStyle w:val="Gvdemetni0"/>
        <w:jc w:val="both"/>
        <w:rPr>
          <w:lang w:val="en-US"/>
        </w:rPr>
      </w:pPr>
      <w:r w:rsidRPr="00D73BAD">
        <w:rPr>
          <w:b/>
          <w:bCs/>
          <w:lang w:val="en-US" w:eastAsia="en-US" w:bidi="en-US"/>
        </w:rPr>
        <w:t xml:space="preserve">ARTICLE </w:t>
      </w:r>
      <w:r w:rsidR="00000000" w:rsidRPr="00D73BAD">
        <w:rPr>
          <w:b/>
          <w:bCs/>
          <w:lang w:val="en-US" w:eastAsia="en-US" w:bidi="en-US"/>
        </w:rPr>
        <w:t xml:space="preserve">8- </w:t>
      </w:r>
      <w:r w:rsidR="00000000" w:rsidRPr="00D73BAD">
        <w:rPr>
          <w:lang w:val="en-US" w:eastAsia="en-US" w:bidi="en-US"/>
        </w:rPr>
        <w:t xml:space="preserve">(1) </w:t>
      </w:r>
      <w:r w:rsidR="006D10D5" w:rsidRPr="00D73BAD">
        <w:rPr>
          <w:lang w:val="en-US"/>
        </w:rPr>
        <w:t>The following measurement and evaluation activities shall be carried out by the Center.</w:t>
      </w:r>
      <w:r w:rsidR="006D10D5" w:rsidRPr="00D73BAD">
        <w:rPr>
          <w:lang w:val="en-US"/>
        </w:rPr>
        <w:t xml:space="preserve"> </w:t>
      </w:r>
    </w:p>
    <w:p w14:paraId="41BA3C07" w14:textId="0F767CD5" w:rsidR="00D83A76" w:rsidRPr="00D73BAD" w:rsidRDefault="006D10D5">
      <w:pPr>
        <w:pStyle w:val="Gvdemetni0"/>
        <w:numPr>
          <w:ilvl w:val="0"/>
          <w:numId w:val="4"/>
        </w:numPr>
        <w:tabs>
          <w:tab w:val="left" w:pos="327"/>
        </w:tabs>
        <w:jc w:val="both"/>
        <w:rPr>
          <w:lang w:val="en-US"/>
        </w:rPr>
      </w:pPr>
      <w:r w:rsidRPr="00D73BAD">
        <w:rPr>
          <w:lang w:val="en-US" w:eastAsia="en-US"/>
        </w:rPr>
        <w:t xml:space="preserve">Final Exam: It is the exam applied at the end of the module, where the four basic language skills of the trainee (reading, listening, speaking and writing) are measured. The </w:t>
      </w:r>
      <w:r w:rsidRPr="00D73BAD">
        <w:rPr>
          <w:lang w:val="en-US" w:eastAsia="en-US"/>
        </w:rPr>
        <w:t>date</w:t>
      </w:r>
      <w:r w:rsidRPr="00D73BAD">
        <w:rPr>
          <w:lang w:val="en-US" w:eastAsia="en-US"/>
        </w:rPr>
        <w:t xml:space="preserve"> of this exam is included in the academic calendar of the Center</w:t>
      </w:r>
      <w:r w:rsidRPr="00D73BAD">
        <w:rPr>
          <w:lang w:val="en-US" w:eastAsia="en-US"/>
        </w:rPr>
        <w:t xml:space="preserve">. </w:t>
      </w:r>
      <w:r w:rsidRPr="00D73BAD">
        <w:rPr>
          <w:lang w:val="en-US" w:eastAsia="en-US"/>
        </w:rPr>
        <w:t>Information about the final exam will be announced to the trainees within the first week of the relevant module.</w:t>
      </w:r>
    </w:p>
    <w:p w14:paraId="209DA499" w14:textId="48BEE2BF" w:rsidR="00D83A76" w:rsidRPr="00D73BAD" w:rsidRDefault="00610BA8">
      <w:pPr>
        <w:pStyle w:val="Gvdemetni0"/>
        <w:numPr>
          <w:ilvl w:val="0"/>
          <w:numId w:val="4"/>
        </w:numPr>
        <w:tabs>
          <w:tab w:val="left" w:pos="341"/>
        </w:tabs>
        <w:jc w:val="both"/>
        <w:rPr>
          <w:lang w:val="en-US"/>
        </w:rPr>
      </w:pPr>
      <w:r w:rsidRPr="00D73BAD">
        <w:rPr>
          <w:lang w:val="en-US" w:eastAsia="en-US" w:bidi="en-US"/>
        </w:rPr>
        <w:t>Make-up Exam</w:t>
      </w:r>
      <w:r w:rsidR="00000000" w:rsidRPr="00D73BAD">
        <w:rPr>
          <w:lang w:val="en-US"/>
        </w:rPr>
        <w:t xml:space="preserve">: </w:t>
      </w:r>
      <w:r w:rsidRPr="00D73BAD">
        <w:rPr>
          <w:lang w:val="en-US" w:eastAsia="en-US" w:bidi="en-US"/>
        </w:rPr>
        <w:t>It</w:t>
      </w:r>
      <w:r w:rsidRPr="00D73BAD">
        <w:rPr>
          <w:lang w:val="en-US" w:eastAsia="en-US" w:bidi="en-US"/>
        </w:rPr>
        <w:t xml:space="preserve"> is the exam applied to students/trainees who have passed the </w:t>
      </w:r>
      <w:r w:rsidR="00A3085C" w:rsidRPr="00D73BAD">
        <w:rPr>
          <w:lang w:val="en-US" w:eastAsia="en-US" w:bidi="en-US"/>
        </w:rPr>
        <w:t>minimum</w:t>
      </w:r>
      <w:r w:rsidRPr="00D73BAD">
        <w:rPr>
          <w:lang w:val="en-US" w:eastAsia="en-US" w:bidi="en-US"/>
        </w:rPr>
        <w:t xml:space="preserve"> grade of 60 (sixty) in total in four skills (reading, listening, speaking and writing) in order to pass to the next level module, but who have not passed the </w:t>
      </w:r>
      <w:r w:rsidR="00A3085C" w:rsidRPr="00D73BAD">
        <w:rPr>
          <w:lang w:val="en-US" w:eastAsia="en-US" w:bidi="en-US"/>
        </w:rPr>
        <w:t>minimum</w:t>
      </w:r>
      <w:r w:rsidRPr="00D73BAD">
        <w:rPr>
          <w:lang w:val="en-US" w:eastAsia="en-US" w:bidi="en-US"/>
        </w:rPr>
        <w:t xml:space="preserve"> grade of 15 (fifteen) in at most one of the four skills (reading, listening, speaking and writing).</w:t>
      </w:r>
    </w:p>
    <w:p w14:paraId="5AC04311" w14:textId="730A2D13" w:rsidR="00D83A76" w:rsidRPr="00D73BAD" w:rsidRDefault="00610BA8">
      <w:pPr>
        <w:pStyle w:val="Gvdemetni0"/>
        <w:numPr>
          <w:ilvl w:val="0"/>
          <w:numId w:val="4"/>
        </w:numPr>
        <w:tabs>
          <w:tab w:val="left" w:pos="327"/>
        </w:tabs>
        <w:jc w:val="both"/>
        <w:rPr>
          <w:lang w:val="en-US"/>
        </w:rPr>
      </w:pPr>
      <w:r w:rsidRPr="00D73BAD">
        <w:rPr>
          <w:lang w:val="en-US"/>
        </w:rPr>
        <w:t>Turkish Level Determination Exam</w:t>
      </w:r>
      <w:r w:rsidR="00000000" w:rsidRPr="00D73BAD">
        <w:rPr>
          <w:lang w:val="en-US"/>
        </w:rPr>
        <w:t xml:space="preserve">: </w:t>
      </w:r>
      <w:r w:rsidRPr="00D73BAD">
        <w:rPr>
          <w:lang w:val="en-US"/>
        </w:rPr>
        <w:t>It is the exam where four basic skills (reading, listening, speaking and writing) are measured</w:t>
      </w:r>
      <w:r w:rsidRPr="00D73BAD">
        <w:rPr>
          <w:lang w:val="en-US"/>
        </w:rPr>
        <w:t xml:space="preserve">. </w:t>
      </w:r>
      <w:r w:rsidRPr="00D73BAD">
        <w:rPr>
          <w:lang w:val="en-US"/>
        </w:rPr>
        <w:t>According to the exam results, the student/trainee is placed in the module appropriate to his/her language level.</w:t>
      </w:r>
      <w:r w:rsidRPr="00D73BAD">
        <w:rPr>
          <w:lang w:val="en-US"/>
        </w:rPr>
        <w:t xml:space="preserve"> </w:t>
      </w:r>
      <w:r w:rsidRPr="00D73BAD">
        <w:rPr>
          <w:lang w:val="en-US" w:eastAsia="en-US"/>
        </w:rPr>
        <w:t xml:space="preserve">Students who are determined to have B2 and above language proficiency as a result of this exam gain Turkish Language Certificate prepared by the Center. Letter grade and grade range of the Turkish </w:t>
      </w:r>
      <w:r w:rsidRPr="00D73BAD">
        <w:rPr>
          <w:lang w:val="en-US" w:eastAsia="en-US"/>
        </w:rPr>
        <w:t>Level Determination</w:t>
      </w:r>
      <w:r w:rsidRPr="00D73BAD">
        <w:rPr>
          <w:lang w:val="en-US" w:eastAsia="en-US"/>
        </w:rPr>
        <w:t xml:space="preserve"> Exam are provided in Table 1</w:t>
      </w:r>
      <w:r w:rsidR="00000000" w:rsidRPr="00D73BAD">
        <w:rPr>
          <w:lang w:val="en-US"/>
        </w:rPr>
        <w:t>.</w:t>
      </w:r>
    </w:p>
    <w:p w14:paraId="1CD9D9F1" w14:textId="1EEBA6BE" w:rsidR="00D83A76" w:rsidRPr="00D73BAD" w:rsidRDefault="00000000">
      <w:pPr>
        <w:pStyle w:val="Gvdemetni0"/>
        <w:jc w:val="both"/>
        <w:rPr>
          <w:lang w:val="en-US"/>
        </w:rPr>
      </w:pPr>
      <w:r w:rsidRPr="00D73BAD">
        <w:rPr>
          <w:lang w:val="en-US"/>
        </w:rPr>
        <w:t xml:space="preserve">ç) </w:t>
      </w:r>
      <w:r w:rsidR="001F48A8" w:rsidRPr="00D73BAD">
        <w:rPr>
          <w:lang w:val="en-US"/>
        </w:rPr>
        <w:t>Turkish Proficiency Exam</w:t>
      </w:r>
      <w:r w:rsidRPr="00D73BAD">
        <w:rPr>
          <w:lang w:val="en-US"/>
        </w:rPr>
        <w:t xml:space="preserve">: </w:t>
      </w:r>
      <w:r w:rsidR="001F48A8" w:rsidRPr="00D73BAD">
        <w:rPr>
          <w:lang w:val="en-US"/>
        </w:rPr>
        <w:t>It is the exam where four basic skills (reading, listening, speaking and writing) are measured and the student, trainee or those who request it receive a Turkish Proficiency Certificate according to their language competence. Persons who are determined to have B2 and above language proficiency as a result of this exam are entitled to receive Turkish Proficiency Certificate prepared by the Center</w:t>
      </w:r>
      <w:r w:rsidRPr="00D73BAD">
        <w:rPr>
          <w:lang w:val="en-US"/>
        </w:rPr>
        <w:t>.</w:t>
      </w:r>
    </w:p>
    <w:p w14:paraId="6C8AA234" w14:textId="13AA408D" w:rsidR="00D83A76" w:rsidRPr="00D73BAD" w:rsidRDefault="001F48A8">
      <w:pPr>
        <w:pStyle w:val="Gvdemetni0"/>
        <w:numPr>
          <w:ilvl w:val="0"/>
          <w:numId w:val="5"/>
        </w:numPr>
        <w:tabs>
          <w:tab w:val="left" w:pos="437"/>
        </w:tabs>
        <w:spacing w:after="260"/>
        <w:jc w:val="both"/>
        <w:rPr>
          <w:lang w:val="en-US"/>
        </w:rPr>
      </w:pPr>
      <w:r w:rsidRPr="00D73BAD">
        <w:rPr>
          <w:lang w:val="en-US"/>
        </w:rPr>
        <w:t xml:space="preserve">Turkish Proficiency Exam Grades are expressed in accordance with the standards of the Common Application Text of European Languages (CEFR). For this purpose, letter </w:t>
      </w:r>
      <w:r w:rsidRPr="00D73BAD">
        <w:rPr>
          <w:lang w:val="en-US"/>
        </w:rPr>
        <w:t>grades</w:t>
      </w:r>
      <w:r w:rsidRPr="00D73BAD">
        <w:rPr>
          <w:lang w:val="en-US"/>
        </w:rPr>
        <w:t xml:space="preserve"> "A1", "A2", "B1", “B2", “C1" and "C2" corresponding to the success levels of the people who want to obtain certificates are used.</w:t>
      </w:r>
      <w:r w:rsidRPr="00D73BAD">
        <w:rPr>
          <w:lang w:val="en-US"/>
        </w:rPr>
        <w:t xml:space="preserve"> </w:t>
      </w:r>
      <w:r w:rsidRPr="00D73BAD">
        <w:rPr>
          <w:lang w:val="en-US" w:eastAsia="en-US"/>
        </w:rPr>
        <w:t>100 grade range of the letter grade values is provided in</w:t>
      </w:r>
      <w:r w:rsidRPr="00D73BAD">
        <w:rPr>
          <w:lang w:val="en-US" w:eastAsia="en-US"/>
        </w:rPr>
        <w:t xml:space="preserve"> Table 1</w:t>
      </w:r>
      <w:r w:rsidR="00000000" w:rsidRPr="00D73BAD">
        <w:rPr>
          <w:lang w:val="en-US"/>
        </w:rPr>
        <w:t>.</w:t>
      </w:r>
    </w:p>
    <w:p w14:paraId="1D7D92D0" w14:textId="068795D5" w:rsidR="00D83A76" w:rsidRPr="00D73BAD" w:rsidRDefault="00000000" w:rsidP="00087041">
      <w:pPr>
        <w:pStyle w:val="Tabloyazs0"/>
        <w:jc w:val="center"/>
        <w:rPr>
          <w:lang w:val="en-US"/>
        </w:rPr>
      </w:pPr>
      <w:r w:rsidRPr="00D73BAD">
        <w:rPr>
          <w:lang w:val="en-US" w:eastAsia="en-US" w:bidi="en-US"/>
        </w:rPr>
        <w:lastRenderedPageBreak/>
        <w:t>Tabl</w:t>
      </w:r>
      <w:r w:rsidR="00087041" w:rsidRPr="00D73BAD">
        <w:rPr>
          <w:lang w:val="en-US" w:eastAsia="en-US" w:bidi="en-US"/>
        </w:rPr>
        <w:t>e</w:t>
      </w:r>
      <w:r w:rsidRPr="00D73BAD">
        <w:rPr>
          <w:lang w:val="en-US" w:eastAsia="en-US" w:bidi="en-US"/>
        </w:rPr>
        <w:t xml:space="preserve"> 1: </w:t>
      </w:r>
      <w:r w:rsidR="00087041" w:rsidRPr="00D73BAD">
        <w:rPr>
          <w:lang w:val="en-US"/>
        </w:rPr>
        <w:t xml:space="preserve">Turkish Proficiency Exam and Turkish Level Determination Exam </w:t>
      </w:r>
      <w:r w:rsidR="00087041" w:rsidRPr="00D73BAD">
        <w:rPr>
          <w:lang w:val="en-US"/>
        </w:rPr>
        <w:t>Grades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6"/>
        <w:gridCol w:w="4670"/>
      </w:tblGrid>
      <w:tr w:rsidR="00D83A76" w:rsidRPr="00D73BAD" w14:paraId="0EEE2DA3" w14:textId="77777777">
        <w:tblPrEx>
          <w:tblCellMar>
            <w:top w:w="0" w:type="dxa"/>
            <w:bottom w:w="0" w:type="dxa"/>
          </w:tblCellMar>
        </w:tblPrEx>
        <w:trPr>
          <w:trHeight w:hRule="exact" w:val="298"/>
          <w:jc w:val="center"/>
        </w:trPr>
        <w:tc>
          <w:tcPr>
            <w:tcW w:w="4666" w:type="dxa"/>
            <w:tcBorders>
              <w:top w:val="single" w:sz="4" w:space="0" w:color="auto"/>
              <w:left w:val="single" w:sz="4" w:space="0" w:color="auto"/>
            </w:tcBorders>
            <w:shd w:val="clear" w:color="auto" w:fill="auto"/>
            <w:vAlign w:val="bottom"/>
          </w:tcPr>
          <w:p w14:paraId="7575FB05" w14:textId="7D2A395E" w:rsidR="00D83A76" w:rsidRPr="00D73BAD" w:rsidRDefault="00087041">
            <w:pPr>
              <w:pStyle w:val="Dier0"/>
              <w:spacing w:line="240" w:lineRule="auto"/>
              <w:jc w:val="center"/>
              <w:rPr>
                <w:lang w:val="en-US"/>
              </w:rPr>
            </w:pPr>
            <w:r w:rsidRPr="00D73BAD">
              <w:rPr>
                <w:lang w:val="en-US"/>
              </w:rPr>
              <w:t>Letter Grade</w:t>
            </w:r>
          </w:p>
        </w:tc>
        <w:tc>
          <w:tcPr>
            <w:tcW w:w="4670" w:type="dxa"/>
            <w:tcBorders>
              <w:top w:val="single" w:sz="4" w:space="0" w:color="auto"/>
              <w:left w:val="single" w:sz="4" w:space="0" w:color="auto"/>
              <w:right w:val="single" w:sz="4" w:space="0" w:color="auto"/>
            </w:tcBorders>
            <w:shd w:val="clear" w:color="auto" w:fill="auto"/>
            <w:vAlign w:val="bottom"/>
          </w:tcPr>
          <w:p w14:paraId="4A2BD744" w14:textId="1280B39B" w:rsidR="00D83A76" w:rsidRPr="00D73BAD" w:rsidRDefault="00087041">
            <w:pPr>
              <w:pStyle w:val="Dier0"/>
              <w:spacing w:line="240" w:lineRule="auto"/>
              <w:jc w:val="center"/>
              <w:rPr>
                <w:lang w:val="en-US"/>
              </w:rPr>
            </w:pPr>
            <w:r w:rsidRPr="00D73BAD">
              <w:rPr>
                <w:lang w:val="en-US"/>
              </w:rPr>
              <w:t>Grade Range</w:t>
            </w:r>
          </w:p>
        </w:tc>
      </w:tr>
      <w:tr w:rsidR="00D83A76" w:rsidRPr="00D73BAD" w14:paraId="07EB6538" w14:textId="77777777">
        <w:tblPrEx>
          <w:tblCellMar>
            <w:top w:w="0" w:type="dxa"/>
            <w:bottom w:w="0" w:type="dxa"/>
          </w:tblCellMar>
        </w:tblPrEx>
        <w:trPr>
          <w:trHeight w:hRule="exact" w:val="288"/>
          <w:jc w:val="center"/>
        </w:trPr>
        <w:tc>
          <w:tcPr>
            <w:tcW w:w="4666" w:type="dxa"/>
            <w:tcBorders>
              <w:top w:val="single" w:sz="4" w:space="0" w:color="auto"/>
              <w:left w:val="single" w:sz="4" w:space="0" w:color="auto"/>
            </w:tcBorders>
            <w:shd w:val="clear" w:color="auto" w:fill="auto"/>
            <w:vAlign w:val="bottom"/>
          </w:tcPr>
          <w:p w14:paraId="62598933" w14:textId="77777777" w:rsidR="00D83A76" w:rsidRPr="00D73BAD" w:rsidRDefault="00000000">
            <w:pPr>
              <w:pStyle w:val="Dier0"/>
              <w:spacing w:line="240" w:lineRule="auto"/>
              <w:jc w:val="center"/>
              <w:rPr>
                <w:lang w:val="en-US"/>
              </w:rPr>
            </w:pPr>
            <w:r w:rsidRPr="00D73BAD">
              <w:rPr>
                <w:lang w:val="en-US"/>
              </w:rPr>
              <w:t>A1</w:t>
            </w:r>
          </w:p>
        </w:tc>
        <w:tc>
          <w:tcPr>
            <w:tcW w:w="4670" w:type="dxa"/>
            <w:tcBorders>
              <w:top w:val="single" w:sz="4" w:space="0" w:color="auto"/>
              <w:left w:val="single" w:sz="4" w:space="0" w:color="auto"/>
              <w:right w:val="single" w:sz="4" w:space="0" w:color="auto"/>
            </w:tcBorders>
            <w:shd w:val="clear" w:color="auto" w:fill="auto"/>
            <w:vAlign w:val="bottom"/>
          </w:tcPr>
          <w:p w14:paraId="1FF15234" w14:textId="77777777" w:rsidR="00D83A76" w:rsidRPr="00D73BAD" w:rsidRDefault="00000000">
            <w:pPr>
              <w:pStyle w:val="Dier0"/>
              <w:spacing w:line="240" w:lineRule="auto"/>
              <w:jc w:val="center"/>
              <w:rPr>
                <w:lang w:val="en-US"/>
              </w:rPr>
            </w:pPr>
            <w:r w:rsidRPr="00D73BAD">
              <w:rPr>
                <w:lang w:val="en-US"/>
              </w:rPr>
              <w:t>0-49</w:t>
            </w:r>
          </w:p>
        </w:tc>
      </w:tr>
      <w:tr w:rsidR="00D83A76" w:rsidRPr="00D73BAD" w14:paraId="518DB3A6" w14:textId="77777777">
        <w:tblPrEx>
          <w:tblCellMar>
            <w:top w:w="0" w:type="dxa"/>
            <w:bottom w:w="0" w:type="dxa"/>
          </w:tblCellMar>
        </w:tblPrEx>
        <w:trPr>
          <w:trHeight w:hRule="exact" w:val="293"/>
          <w:jc w:val="center"/>
        </w:trPr>
        <w:tc>
          <w:tcPr>
            <w:tcW w:w="4666" w:type="dxa"/>
            <w:tcBorders>
              <w:top w:val="single" w:sz="4" w:space="0" w:color="auto"/>
              <w:left w:val="single" w:sz="4" w:space="0" w:color="auto"/>
            </w:tcBorders>
            <w:shd w:val="clear" w:color="auto" w:fill="auto"/>
            <w:vAlign w:val="bottom"/>
          </w:tcPr>
          <w:p w14:paraId="6C96BE07" w14:textId="77777777" w:rsidR="00D83A76" w:rsidRPr="00D73BAD" w:rsidRDefault="00000000">
            <w:pPr>
              <w:pStyle w:val="Dier0"/>
              <w:spacing w:line="240" w:lineRule="auto"/>
              <w:jc w:val="center"/>
              <w:rPr>
                <w:lang w:val="en-US"/>
              </w:rPr>
            </w:pPr>
            <w:r w:rsidRPr="00D73BAD">
              <w:rPr>
                <w:lang w:val="en-US"/>
              </w:rPr>
              <w:t>A2</w:t>
            </w:r>
          </w:p>
        </w:tc>
        <w:tc>
          <w:tcPr>
            <w:tcW w:w="4670" w:type="dxa"/>
            <w:tcBorders>
              <w:top w:val="single" w:sz="4" w:space="0" w:color="auto"/>
              <w:left w:val="single" w:sz="4" w:space="0" w:color="auto"/>
              <w:right w:val="single" w:sz="4" w:space="0" w:color="auto"/>
            </w:tcBorders>
            <w:shd w:val="clear" w:color="auto" w:fill="auto"/>
            <w:vAlign w:val="bottom"/>
          </w:tcPr>
          <w:p w14:paraId="6E050495" w14:textId="77777777" w:rsidR="00D83A76" w:rsidRPr="00D73BAD" w:rsidRDefault="00000000">
            <w:pPr>
              <w:pStyle w:val="Dier0"/>
              <w:spacing w:line="240" w:lineRule="auto"/>
              <w:jc w:val="center"/>
              <w:rPr>
                <w:lang w:val="en-US"/>
              </w:rPr>
            </w:pPr>
            <w:r w:rsidRPr="00D73BAD">
              <w:rPr>
                <w:lang w:val="en-US"/>
              </w:rPr>
              <w:t>50-59</w:t>
            </w:r>
          </w:p>
        </w:tc>
      </w:tr>
      <w:tr w:rsidR="00D83A76" w:rsidRPr="00D73BAD" w14:paraId="2C837F30" w14:textId="77777777">
        <w:tblPrEx>
          <w:tblCellMar>
            <w:top w:w="0" w:type="dxa"/>
            <w:bottom w:w="0" w:type="dxa"/>
          </w:tblCellMar>
        </w:tblPrEx>
        <w:trPr>
          <w:trHeight w:hRule="exact" w:val="293"/>
          <w:jc w:val="center"/>
        </w:trPr>
        <w:tc>
          <w:tcPr>
            <w:tcW w:w="4666" w:type="dxa"/>
            <w:tcBorders>
              <w:top w:val="single" w:sz="4" w:space="0" w:color="auto"/>
              <w:left w:val="single" w:sz="4" w:space="0" w:color="auto"/>
            </w:tcBorders>
            <w:shd w:val="clear" w:color="auto" w:fill="auto"/>
            <w:vAlign w:val="bottom"/>
          </w:tcPr>
          <w:p w14:paraId="4431DA52" w14:textId="77777777" w:rsidR="00D83A76" w:rsidRPr="00D73BAD" w:rsidRDefault="00000000">
            <w:pPr>
              <w:pStyle w:val="Dier0"/>
              <w:spacing w:line="240" w:lineRule="auto"/>
              <w:jc w:val="center"/>
              <w:rPr>
                <w:lang w:val="en-US"/>
              </w:rPr>
            </w:pPr>
            <w:r w:rsidRPr="00D73BAD">
              <w:rPr>
                <w:lang w:val="en-US"/>
              </w:rPr>
              <w:t>B1</w:t>
            </w:r>
          </w:p>
        </w:tc>
        <w:tc>
          <w:tcPr>
            <w:tcW w:w="4670" w:type="dxa"/>
            <w:tcBorders>
              <w:top w:val="single" w:sz="4" w:space="0" w:color="auto"/>
              <w:left w:val="single" w:sz="4" w:space="0" w:color="auto"/>
              <w:right w:val="single" w:sz="4" w:space="0" w:color="auto"/>
            </w:tcBorders>
            <w:shd w:val="clear" w:color="auto" w:fill="auto"/>
            <w:vAlign w:val="bottom"/>
          </w:tcPr>
          <w:p w14:paraId="47914EA9" w14:textId="77777777" w:rsidR="00D83A76" w:rsidRPr="00D73BAD" w:rsidRDefault="00000000">
            <w:pPr>
              <w:pStyle w:val="Dier0"/>
              <w:spacing w:line="240" w:lineRule="auto"/>
              <w:jc w:val="center"/>
              <w:rPr>
                <w:lang w:val="en-US"/>
              </w:rPr>
            </w:pPr>
            <w:r w:rsidRPr="00D73BAD">
              <w:rPr>
                <w:lang w:val="en-US"/>
              </w:rPr>
              <w:t>60-69</w:t>
            </w:r>
          </w:p>
        </w:tc>
      </w:tr>
      <w:tr w:rsidR="00D83A76" w:rsidRPr="00D73BAD" w14:paraId="3BA0C0D3" w14:textId="77777777">
        <w:tblPrEx>
          <w:tblCellMar>
            <w:top w:w="0" w:type="dxa"/>
            <w:bottom w:w="0" w:type="dxa"/>
          </w:tblCellMar>
        </w:tblPrEx>
        <w:trPr>
          <w:trHeight w:hRule="exact" w:val="288"/>
          <w:jc w:val="center"/>
        </w:trPr>
        <w:tc>
          <w:tcPr>
            <w:tcW w:w="4666" w:type="dxa"/>
            <w:tcBorders>
              <w:top w:val="single" w:sz="4" w:space="0" w:color="auto"/>
              <w:left w:val="single" w:sz="4" w:space="0" w:color="auto"/>
            </w:tcBorders>
            <w:shd w:val="clear" w:color="auto" w:fill="auto"/>
            <w:vAlign w:val="bottom"/>
          </w:tcPr>
          <w:p w14:paraId="4BB32D74" w14:textId="77777777" w:rsidR="00D83A76" w:rsidRPr="00D73BAD" w:rsidRDefault="00000000">
            <w:pPr>
              <w:pStyle w:val="Dier0"/>
              <w:spacing w:line="240" w:lineRule="auto"/>
              <w:jc w:val="center"/>
              <w:rPr>
                <w:lang w:val="en-US"/>
              </w:rPr>
            </w:pPr>
            <w:r w:rsidRPr="00D73BAD">
              <w:rPr>
                <w:lang w:val="en-US"/>
              </w:rPr>
              <w:t>B2</w:t>
            </w:r>
          </w:p>
        </w:tc>
        <w:tc>
          <w:tcPr>
            <w:tcW w:w="4670" w:type="dxa"/>
            <w:tcBorders>
              <w:top w:val="single" w:sz="4" w:space="0" w:color="auto"/>
              <w:left w:val="single" w:sz="4" w:space="0" w:color="auto"/>
              <w:right w:val="single" w:sz="4" w:space="0" w:color="auto"/>
            </w:tcBorders>
            <w:shd w:val="clear" w:color="auto" w:fill="auto"/>
            <w:vAlign w:val="bottom"/>
          </w:tcPr>
          <w:p w14:paraId="33E38CE3" w14:textId="77777777" w:rsidR="00D83A76" w:rsidRPr="00D73BAD" w:rsidRDefault="00000000">
            <w:pPr>
              <w:pStyle w:val="Dier0"/>
              <w:spacing w:line="240" w:lineRule="auto"/>
              <w:jc w:val="center"/>
              <w:rPr>
                <w:lang w:val="en-US"/>
              </w:rPr>
            </w:pPr>
            <w:r w:rsidRPr="00D73BAD">
              <w:rPr>
                <w:lang w:val="en-US"/>
              </w:rPr>
              <w:t>70-79</w:t>
            </w:r>
          </w:p>
        </w:tc>
      </w:tr>
      <w:tr w:rsidR="00D83A76" w:rsidRPr="00D73BAD" w14:paraId="671710C3" w14:textId="77777777">
        <w:tblPrEx>
          <w:tblCellMar>
            <w:top w:w="0" w:type="dxa"/>
            <w:bottom w:w="0" w:type="dxa"/>
          </w:tblCellMar>
        </w:tblPrEx>
        <w:trPr>
          <w:trHeight w:hRule="exact" w:val="293"/>
          <w:jc w:val="center"/>
        </w:trPr>
        <w:tc>
          <w:tcPr>
            <w:tcW w:w="4666" w:type="dxa"/>
            <w:tcBorders>
              <w:top w:val="single" w:sz="4" w:space="0" w:color="auto"/>
              <w:left w:val="single" w:sz="4" w:space="0" w:color="auto"/>
            </w:tcBorders>
            <w:shd w:val="clear" w:color="auto" w:fill="auto"/>
            <w:vAlign w:val="bottom"/>
          </w:tcPr>
          <w:p w14:paraId="211228C2" w14:textId="77777777" w:rsidR="00D83A76" w:rsidRPr="00D73BAD" w:rsidRDefault="00000000">
            <w:pPr>
              <w:pStyle w:val="Dier0"/>
              <w:spacing w:line="240" w:lineRule="auto"/>
              <w:jc w:val="center"/>
              <w:rPr>
                <w:lang w:val="en-US"/>
              </w:rPr>
            </w:pPr>
            <w:r w:rsidRPr="00D73BAD">
              <w:rPr>
                <w:lang w:val="en-US"/>
              </w:rPr>
              <w:t>C1</w:t>
            </w:r>
          </w:p>
        </w:tc>
        <w:tc>
          <w:tcPr>
            <w:tcW w:w="4670" w:type="dxa"/>
            <w:tcBorders>
              <w:top w:val="single" w:sz="4" w:space="0" w:color="auto"/>
              <w:left w:val="single" w:sz="4" w:space="0" w:color="auto"/>
              <w:right w:val="single" w:sz="4" w:space="0" w:color="auto"/>
            </w:tcBorders>
            <w:shd w:val="clear" w:color="auto" w:fill="auto"/>
            <w:vAlign w:val="bottom"/>
          </w:tcPr>
          <w:p w14:paraId="50B2669A" w14:textId="77777777" w:rsidR="00D83A76" w:rsidRPr="00D73BAD" w:rsidRDefault="00000000">
            <w:pPr>
              <w:pStyle w:val="Dier0"/>
              <w:spacing w:line="240" w:lineRule="auto"/>
              <w:jc w:val="center"/>
              <w:rPr>
                <w:lang w:val="en-US"/>
              </w:rPr>
            </w:pPr>
            <w:r w:rsidRPr="00D73BAD">
              <w:rPr>
                <w:lang w:val="en-US"/>
              </w:rPr>
              <w:t>80-89</w:t>
            </w:r>
          </w:p>
        </w:tc>
      </w:tr>
      <w:tr w:rsidR="00D83A76" w:rsidRPr="00D73BAD" w14:paraId="5C77E760" w14:textId="77777777">
        <w:tblPrEx>
          <w:tblCellMar>
            <w:top w:w="0" w:type="dxa"/>
            <w:bottom w:w="0" w:type="dxa"/>
          </w:tblCellMar>
        </w:tblPrEx>
        <w:trPr>
          <w:trHeight w:hRule="exact" w:val="302"/>
          <w:jc w:val="center"/>
        </w:trPr>
        <w:tc>
          <w:tcPr>
            <w:tcW w:w="4666" w:type="dxa"/>
            <w:tcBorders>
              <w:top w:val="single" w:sz="4" w:space="0" w:color="auto"/>
              <w:left w:val="single" w:sz="4" w:space="0" w:color="auto"/>
              <w:bottom w:val="single" w:sz="4" w:space="0" w:color="auto"/>
            </w:tcBorders>
            <w:shd w:val="clear" w:color="auto" w:fill="auto"/>
            <w:vAlign w:val="bottom"/>
          </w:tcPr>
          <w:p w14:paraId="7AEAFB7A" w14:textId="77777777" w:rsidR="00D83A76" w:rsidRPr="00D73BAD" w:rsidRDefault="00000000">
            <w:pPr>
              <w:pStyle w:val="Dier0"/>
              <w:spacing w:line="240" w:lineRule="auto"/>
              <w:jc w:val="center"/>
              <w:rPr>
                <w:lang w:val="en-US"/>
              </w:rPr>
            </w:pPr>
            <w:r w:rsidRPr="00D73BAD">
              <w:rPr>
                <w:lang w:val="en-US"/>
              </w:rPr>
              <w:t>C2</w:t>
            </w:r>
          </w:p>
        </w:tc>
        <w:tc>
          <w:tcPr>
            <w:tcW w:w="4670" w:type="dxa"/>
            <w:tcBorders>
              <w:top w:val="single" w:sz="4" w:space="0" w:color="auto"/>
              <w:left w:val="single" w:sz="4" w:space="0" w:color="auto"/>
              <w:bottom w:val="single" w:sz="4" w:space="0" w:color="auto"/>
              <w:right w:val="single" w:sz="4" w:space="0" w:color="auto"/>
            </w:tcBorders>
            <w:shd w:val="clear" w:color="auto" w:fill="auto"/>
            <w:vAlign w:val="bottom"/>
          </w:tcPr>
          <w:p w14:paraId="23BE7414" w14:textId="77777777" w:rsidR="00D83A76" w:rsidRPr="00D73BAD" w:rsidRDefault="00000000">
            <w:pPr>
              <w:pStyle w:val="Dier0"/>
              <w:spacing w:line="240" w:lineRule="auto"/>
              <w:jc w:val="center"/>
              <w:rPr>
                <w:lang w:val="en-US"/>
              </w:rPr>
            </w:pPr>
            <w:r w:rsidRPr="00D73BAD">
              <w:rPr>
                <w:lang w:val="en-US"/>
              </w:rPr>
              <w:t>90-100</w:t>
            </w:r>
          </w:p>
        </w:tc>
      </w:tr>
    </w:tbl>
    <w:p w14:paraId="7EF42BFB" w14:textId="77777777" w:rsidR="00D83A76" w:rsidRPr="00D73BAD" w:rsidRDefault="00D83A76">
      <w:pPr>
        <w:spacing w:after="259" w:line="1" w:lineRule="exact"/>
        <w:rPr>
          <w:lang w:val="en-US"/>
        </w:rPr>
      </w:pPr>
    </w:p>
    <w:p w14:paraId="784841C7" w14:textId="0C0ECACF" w:rsidR="00D83A76" w:rsidRPr="00D73BAD" w:rsidRDefault="00564ED7">
      <w:pPr>
        <w:pStyle w:val="Balk10"/>
        <w:keepNext/>
        <w:keepLines/>
        <w:rPr>
          <w:lang w:val="en-US"/>
        </w:rPr>
      </w:pPr>
      <w:bookmarkStart w:id="4" w:name="bookmark21"/>
      <w:r w:rsidRPr="00D73BAD">
        <w:rPr>
          <w:lang w:val="en-US"/>
        </w:rPr>
        <w:t>Module Success Grade and Moving up to Next Level</w:t>
      </w:r>
      <w:r w:rsidRPr="00D73BAD">
        <w:rPr>
          <w:lang w:val="en-US"/>
        </w:rPr>
        <w:t xml:space="preserve">  </w:t>
      </w:r>
      <w:bookmarkEnd w:id="4"/>
    </w:p>
    <w:p w14:paraId="07106A67" w14:textId="430EE20A" w:rsidR="00D83A76" w:rsidRPr="00D73BAD" w:rsidRDefault="001C603D">
      <w:pPr>
        <w:pStyle w:val="Gvdemetni0"/>
        <w:rPr>
          <w:lang w:val="en-US"/>
        </w:rPr>
      </w:pPr>
      <w:r w:rsidRPr="00D73BAD">
        <w:rPr>
          <w:b/>
          <w:bCs/>
          <w:lang w:val="en-US" w:eastAsia="en-US" w:bidi="en-US"/>
        </w:rPr>
        <w:t xml:space="preserve">ARTICLE </w:t>
      </w:r>
      <w:r w:rsidR="00000000" w:rsidRPr="00D73BAD">
        <w:rPr>
          <w:b/>
          <w:bCs/>
          <w:lang w:val="en-US" w:eastAsia="en-US" w:bidi="en-US"/>
        </w:rPr>
        <w:t xml:space="preserve">9- </w:t>
      </w:r>
      <w:r w:rsidR="00000000" w:rsidRPr="00D73BAD">
        <w:rPr>
          <w:lang w:val="en-US" w:eastAsia="en-US" w:bidi="en-US"/>
        </w:rPr>
        <w:t xml:space="preserve">(1) </w:t>
      </w:r>
      <w:r w:rsidR="00795736" w:rsidRPr="00D73BAD">
        <w:rPr>
          <w:lang w:val="en-US"/>
        </w:rPr>
        <w:t xml:space="preserve">Students/trainees who collect 15 (fifteen) </w:t>
      </w:r>
      <w:r w:rsidR="00A3085C" w:rsidRPr="00D73BAD">
        <w:rPr>
          <w:lang w:val="en-US" w:eastAsia="en-US" w:bidi="en-US"/>
        </w:rPr>
        <w:t xml:space="preserve">minimum </w:t>
      </w:r>
      <w:r w:rsidR="00795736" w:rsidRPr="00D73BAD">
        <w:rPr>
          <w:lang w:val="en-US"/>
        </w:rPr>
        <w:t>grades from each of the four skills (reading, listening, speaking and writing) and obtain a grade of 60 (sixty) or above are considered successful in the module they study and gain the right to participate in the next level module.</w:t>
      </w:r>
    </w:p>
    <w:p w14:paraId="1BCEB5AE" w14:textId="21735F7C" w:rsidR="00D83A76" w:rsidRPr="00D73BAD" w:rsidRDefault="000A0D99" w:rsidP="000A0D99">
      <w:pPr>
        <w:pStyle w:val="Gvdemetni0"/>
        <w:tabs>
          <w:tab w:val="left" w:pos="451"/>
        </w:tabs>
        <w:rPr>
          <w:lang w:val="en-US"/>
        </w:rPr>
      </w:pPr>
      <w:r w:rsidRPr="00D73BAD">
        <w:rPr>
          <w:lang w:val="en-US"/>
        </w:rPr>
        <w:t xml:space="preserve">(2) </w:t>
      </w:r>
      <w:r w:rsidR="00795736" w:rsidRPr="00D73BAD">
        <w:rPr>
          <w:lang w:val="en-US"/>
        </w:rPr>
        <w:t xml:space="preserve">If the student/trainee passes the 60 (sixty) </w:t>
      </w:r>
      <w:r w:rsidR="00A3085C" w:rsidRPr="00D73BAD">
        <w:rPr>
          <w:lang w:val="en-US" w:eastAsia="en-US" w:bidi="en-US"/>
        </w:rPr>
        <w:t xml:space="preserve">minimum </w:t>
      </w:r>
      <w:proofErr w:type="gramStart"/>
      <w:r w:rsidR="00795736" w:rsidRPr="00D73BAD">
        <w:rPr>
          <w:lang w:val="en-US"/>
        </w:rPr>
        <w:t>grade</w:t>
      </w:r>
      <w:proofErr w:type="gramEnd"/>
      <w:r w:rsidR="00795736" w:rsidRPr="00D73BAD">
        <w:rPr>
          <w:lang w:val="en-US"/>
        </w:rPr>
        <w:t xml:space="preserve"> in the final exam where four skills (reading, listening, speaking and writing) are measured to advance to the next level, but cannot pass the 15 (fifteen) </w:t>
      </w:r>
      <w:r w:rsidR="00A3085C" w:rsidRPr="00D73BAD">
        <w:rPr>
          <w:lang w:val="en-US" w:eastAsia="en-US" w:bidi="en-US"/>
        </w:rPr>
        <w:t xml:space="preserve">minimum </w:t>
      </w:r>
      <w:r w:rsidR="00A3085C" w:rsidRPr="00D73BAD">
        <w:rPr>
          <w:lang w:val="en-US"/>
        </w:rPr>
        <w:t>grade</w:t>
      </w:r>
      <w:r w:rsidR="00795736" w:rsidRPr="00D73BAD">
        <w:rPr>
          <w:lang w:val="en-US"/>
        </w:rPr>
        <w:t xml:space="preserve"> in at most one of the four skills (reading, listening, speaking and writing), he/she is subjected to a make-up exam.</w:t>
      </w:r>
      <w:r w:rsidR="00795736" w:rsidRPr="00D73BAD">
        <w:rPr>
          <w:lang w:val="en-US"/>
        </w:rPr>
        <w:t xml:space="preserve"> </w:t>
      </w:r>
      <w:r w:rsidR="00795736" w:rsidRPr="00D73BAD">
        <w:rPr>
          <w:lang w:val="en-US"/>
        </w:rPr>
        <w:t>If the student/trainee passes 15 (fifteen) points in the relevant skill in the make-up exam where a single skill is measured, he/she gains the right to participate in the next level module.</w:t>
      </w:r>
    </w:p>
    <w:p w14:paraId="641C99E4" w14:textId="3E2007A3" w:rsidR="00D83A76" w:rsidRPr="00D73BAD" w:rsidRDefault="00795736">
      <w:pPr>
        <w:pStyle w:val="Gvdemetni0"/>
        <w:numPr>
          <w:ilvl w:val="0"/>
          <w:numId w:val="5"/>
        </w:numPr>
        <w:tabs>
          <w:tab w:val="left" w:pos="451"/>
        </w:tabs>
        <w:rPr>
          <w:lang w:val="en-US"/>
        </w:rPr>
      </w:pPr>
      <w:r w:rsidRPr="00D73BAD">
        <w:rPr>
          <w:lang w:val="en-US"/>
        </w:rPr>
        <w:t xml:space="preserve">If the student/trainee passes the </w:t>
      </w:r>
      <w:r w:rsidR="00A3085C" w:rsidRPr="00D73BAD">
        <w:rPr>
          <w:lang w:val="en-US" w:eastAsia="en-US" w:bidi="en-US"/>
        </w:rPr>
        <w:t xml:space="preserve">minimum </w:t>
      </w:r>
      <w:r w:rsidR="00A3085C" w:rsidRPr="00D73BAD">
        <w:rPr>
          <w:lang w:val="en-US"/>
        </w:rPr>
        <w:t>grade</w:t>
      </w:r>
      <w:r w:rsidRPr="00D73BAD">
        <w:rPr>
          <w:lang w:val="en-US"/>
        </w:rPr>
        <w:t xml:space="preserve"> of 60 (sixty) in total from the four skills measured in the final exam (reading, listening, speaking and writing), but fails to pass the </w:t>
      </w:r>
      <w:r w:rsidR="00A3085C" w:rsidRPr="00D73BAD">
        <w:rPr>
          <w:lang w:val="en-US" w:eastAsia="en-US" w:bidi="en-US"/>
        </w:rPr>
        <w:t xml:space="preserve">minimum </w:t>
      </w:r>
      <w:r w:rsidR="00A3085C" w:rsidRPr="00D73BAD">
        <w:rPr>
          <w:lang w:val="en-US"/>
        </w:rPr>
        <w:t>grade</w:t>
      </w:r>
      <w:r w:rsidRPr="00D73BAD">
        <w:rPr>
          <w:lang w:val="en-US"/>
        </w:rPr>
        <w:t xml:space="preserve"> of 15 (fifteen) separately in at least two skills, he/she repeats the module he/she failed in the following semester</w:t>
      </w:r>
      <w:r w:rsidR="00000000" w:rsidRPr="00D73BAD">
        <w:rPr>
          <w:lang w:val="en-US" w:eastAsia="en-US" w:bidi="en-US"/>
        </w:rPr>
        <w:t>.</w:t>
      </w:r>
    </w:p>
    <w:p w14:paraId="3848BD2F" w14:textId="5E9E19F1" w:rsidR="00D83A76" w:rsidRPr="00D73BAD" w:rsidRDefault="00795736">
      <w:pPr>
        <w:pStyle w:val="Gvdemetni0"/>
        <w:numPr>
          <w:ilvl w:val="0"/>
          <w:numId w:val="5"/>
        </w:numPr>
        <w:tabs>
          <w:tab w:val="left" w:pos="451"/>
        </w:tabs>
        <w:rPr>
          <w:lang w:val="en-US"/>
        </w:rPr>
      </w:pPr>
      <w:r w:rsidRPr="00D73BAD">
        <w:rPr>
          <w:lang w:val="en-US"/>
        </w:rPr>
        <w:t>If a student/trainee receives a total of 59 (fifty-nine) or lower from four skills (reading, listening, speaking and writing) as a result of the final exam and make-up exam, he/she is considered to have failed the level he/she is continuing and must repeat the level he/she failed in the following semester</w:t>
      </w:r>
      <w:r w:rsidR="00000000" w:rsidRPr="00D73BAD">
        <w:rPr>
          <w:lang w:val="en-US"/>
        </w:rPr>
        <w:t>.</w:t>
      </w:r>
    </w:p>
    <w:p w14:paraId="598E897E" w14:textId="29EA8447" w:rsidR="00D83A76" w:rsidRPr="00D73BAD" w:rsidRDefault="00795736">
      <w:pPr>
        <w:pStyle w:val="Gvdemetni0"/>
        <w:numPr>
          <w:ilvl w:val="0"/>
          <w:numId w:val="5"/>
        </w:numPr>
        <w:tabs>
          <w:tab w:val="left" w:pos="446"/>
        </w:tabs>
        <w:spacing w:after="260"/>
        <w:rPr>
          <w:lang w:val="en-US"/>
        </w:rPr>
      </w:pPr>
      <w:r w:rsidRPr="00D73BAD">
        <w:rPr>
          <w:lang w:val="en-US"/>
        </w:rPr>
        <w:t>The Final Exam Grading System to be applied in final exams is shown in Table 2</w:t>
      </w:r>
      <w:r w:rsidR="00000000" w:rsidRPr="00D73BAD">
        <w:rPr>
          <w:lang w:val="en-US"/>
        </w:rPr>
        <w:t>.</w:t>
      </w:r>
    </w:p>
    <w:p w14:paraId="4C3D834F" w14:textId="732630CB" w:rsidR="00D83A76" w:rsidRPr="00D73BAD" w:rsidRDefault="00000000">
      <w:pPr>
        <w:pStyle w:val="Tabloyazs0"/>
        <w:ind w:left="3048"/>
        <w:rPr>
          <w:lang w:val="en-US"/>
        </w:rPr>
      </w:pPr>
      <w:r w:rsidRPr="00D73BAD">
        <w:rPr>
          <w:lang w:val="en-US"/>
        </w:rPr>
        <w:t>Tabl</w:t>
      </w:r>
      <w:r w:rsidR="00795736" w:rsidRPr="00D73BAD">
        <w:rPr>
          <w:lang w:val="en-US"/>
        </w:rPr>
        <w:t>e</w:t>
      </w:r>
      <w:r w:rsidRPr="00D73BAD">
        <w:rPr>
          <w:lang w:val="en-US"/>
        </w:rPr>
        <w:t xml:space="preserve"> 2: </w:t>
      </w:r>
      <w:r w:rsidR="00795736" w:rsidRPr="00D73BAD">
        <w:rPr>
          <w:lang w:val="en-US"/>
        </w:rPr>
        <w:t>Final Exam Grading System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47"/>
        <w:gridCol w:w="2362"/>
        <w:gridCol w:w="2357"/>
        <w:gridCol w:w="2366"/>
      </w:tblGrid>
      <w:tr w:rsidR="00D83A76" w:rsidRPr="00D73BAD" w14:paraId="011D24E1" w14:textId="77777777">
        <w:tblPrEx>
          <w:tblCellMar>
            <w:top w:w="0" w:type="dxa"/>
            <w:bottom w:w="0" w:type="dxa"/>
          </w:tblCellMar>
        </w:tblPrEx>
        <w:trPr>
          <w:trHeight w:hRule="exact" w:val="374"/>
          <w:jc w:val="center"/>
        </w:trPr>
        <w:tc>
          <w:tcPr>
            <w:tcW w:w="2347" w:type="dxa"/>
            <w:tcBorders>
              <w:top w:val="single" w:sz="4" w:space="0" w:color="auto"/>
              <w:left w:val="single" w:sz="4" w:space="0" w:color="auto"/>
            </w:tcBorders>
            <w:shd w:val="clear" w:color="auto" w:fill="auto"/>
          </w:tcPr>
          <w:p w14:paraId="6EE3540C" w14:textId="77777777" w:rsidR="00D83A76" w:rsidRPr="00D73BAD" w:rsidRDefault="00D83A76">
            <w:pPr>
              <w:rPr>
                <w:sz w:val="10"/>
                <w:szCs w:val="10"/>
                <w:lang w:val="en-US"/>
              </w:rPr>
            </w:pPr>
          </w:p>
        </w:tc>
        <w:tc>
          <w:tcPr>
            <w:tcW w:w="2362" w:type="dxa"/>
            <w:tcBorders>
              <w:top w:val="single" w:sz="4" w:space="0" w:color="auto"/>
              <w:left w:val="single" w:sz="4" w:space="0" w:color="auto"/>
            </w:tcBorders>
            <w:shd w:val="clear" w:color="auto" w:fill="auto"/>
          </w:tcPr>
          <w:p w14:paraId="221C5536" w14:textId="0DAE98D8" w:rsidR="00D83A76" w:rsidRPr="00D73BAD" w:rsidRDefault="00795736">
            <w:pPr>
              <w:pStyle w:val="Dier0"/>
              <w:spacing w:line="240" w:lineRule="auto"/>
              <w:jc w:val="center"/>
              <w:rPr>
                <w:lang w:val="en-US"/>
              </w:rPr>
            </w:pPr>
            <w:r w:rsidRPr="00D73BAD">
              <w:rPr>
                <w:b/>
                <w:bCs/>
                <w:lang w:val="en-US"/>
              </w:rPr>
              <w:t>Skills</w:t>
            </w:r>
          </w:p>
        </w:tc>
        <w:tc>
          <w:tcPr>
            <w:tcW w:w="2357" w:type="dxa"/>
            <w:tcBorders>
              <w:top w:val="single" w:sz="4" w:space="0" w:color="auto"/>
              <w:left w:val="single" w:sz="4" w:space="0" w:color="auto"/>
            </w:tcBorders>
            <w:shd w:val="clear" w:color="auto" w:fill="auto"/>
          </w:tcPr>
          <w:p w14:paraId="33FDAE0B" w14:textId="0572EA98" w:rsidR="00D83A76" w:rsidRPr="00D73BAD" w:rsidRDefault="00795736">
            <w:pPr>
              <w:pStyle w:val="Dier0"/>
              <w:spacing w:line="240" w:lineRule="auto"/>
              <w:jc w:val="center"/>
              <w:rPr>
                <w:sz w:val="22"/>
                <w:szCs w:val="22"/>
                <w:lang w:val="en-US"/>
              </w:rPr>
            </w:pPr>
            <w:r w:rsidRPr="00D73BAD">
              <w:rPr>
                <w:b/>
                <w:bCs/>
                <w:lang w:val="en-US"/>
              </w:rPr>
              <w:t>Grade</w:t>
            </w:r>
          </w:p>
        </w:tc>
        <w:tc>
          <w:tcPr>
            <w:tcW w:w="2366" w:type="dxa"/>
            <w:tcBorders>
              <w:top w:val="single" w:sz="4" w:space="0" w:color="auto"/>
              <w:left w:val="single" w:sz="4" w:space="0" w:color="auto"/>
              <w:right w:val="single" w:sz="4" w:space="0" w:color="auto"/>
            </w:tcBorders>
            <w:shd w:val="clear" w:color="auto" w:fill="auto"/>
          </w:tcPr>
          <w:p w14:paraId="260AA308" w14:textId="7A427068" w:rsidR="00D83A76" w:rsidRPr="00D73BAD" w:rsidRDefault="00795736">
            <w:pPr>
              <w:pStyle w:val="Dier0"/>
              <w:spacing w:line="240" w:lineRule="auto"/>
              <w:jc w:val="center"/>
              <w:rPr>
                <w:lang w:val="en-US"/>
              </w:rPr>
            </w:pPr>
            <w:r w:rsidRPr="00D73BAD">
              <w:rPr>
                <w:b/>
                <w:bCs/>
                <w:lang w:val="en-US"/>
              </w:rPr>
              <w:t>Minimum Grade</w:t>
            </w:r>
          </w:p>
        </w:tc>
      </w:tr>
      <w:tr w:rsidR="00D83A76" w:rsidRPr="00D73BAD" w14:paraId="51878CA5" w14:textId="77777777">
        <w:tblPrEx>
          <w:tblCellMar>
            <w:top w:w="0" w:type="dxa"/>
            <w:bottom w:w="0" w:type="dxa"/>
          </w:tblCellMar>
        </w:tblPrEx>
        <w:trPr>
          <w:trHeight w:hRule="exact" w:val="288"/>
          <w:jc w:val="center"/>
        </w:trPr>
        <w:tc>
          <w:tcPr>
            <w:tcW w:w="2347" w:type="dxa"/>
            <w:vMerge w:val="restart"/>
            <w:tcBorders>
              <w:top w:val="single" w:sz="4" w:space="0" w:color="auto"/>
              <w:left w:val="single" w:sz="4" w:space="0" w:color="auto"/>
            </w:tcBorders>
            <w:shd w:val="clear" w:color="auto" w:fill="auto"/>
          </w:tcPr>
          <w:p w14:paraId="561C7D57" w14:textId="1782C088" w:rsidR="00D83A76" w:rsidRPr="00D73BAD" w:rsidRDefault="00795736">
            <w:pPr>
              <w:pStyle w:val="Dier0"/>
              <w:spacing w:line="240" w:lineRule="auto"/>
              <w:jc w:val="center"/>
              <w:rPr>
                <w:lang w:val="en-US"/>
              </w:rPr>
            </w:pPr>
            <w:r w:rsidRPr="00D73BAD">
              <w:rPr>
                <w:b/>
                <w:bCs/>
                <w:lang w:val="en-US"/>
              </w:rPr>
              <w:t>Comprehension</w:t>
            </w:r>
          </w:p>
        </w:tc>
        <w:tc>
          <w:tcPr>
            <w:tcW w:w="2362" w:type="dxa"/>
            <w:tcBorders>
              <w:top w:val="single" w:sz="4" w:space="0" w:color="auto"/>
              <w:left w:val="single" w:sz="4" w:space="0" w:color="auto"/>
            </w:tcBorders>
            <w:shd w:val="clear" w:color="auto" w:fill="auto"/>
            <w:vAlign w:val="bottom"/>
          </w:tcPr>
          <w:p w14:paraId="1E0155E4" w14:textId="0B83DD49" w:rsidR="00D83A76" w:rsidRPr="00D73BAD" w:rsidRDefault="00857FB2">
            <w:pPr>
              <w:pStyle w:val="Dier0"/>
              <w:spacing w:line="240" w:lineRule="auto"/>
              <w:jc w:val="center"/>
              <w:rPr>
                <w:lang w:val="en-US"/>
              </w:rPr>
            </w:pPr>
            <w:r w:rsidRPr="00D73BAD">
              <w:rPr>
                <w:lang w:val="en-US"/>
              </w:rPr>
              <w:t>Listening</w:t>
            </w:r>
          </w:p>
        </w:tc>
        <w:tc>
          <w:tcPr>
            <w:tcW w:w="2357" w:type="dxa"/>
            <w:tcBorders>
              <w:top w:val="single" w:sz="4" w:space="0" w:color="auto"/>
              <w:left w:val="single" w:sz="4" w:space="0" w:color="auto"/>
            </w:tcBorders>
            <w:shd w:val="clear" w:color="auto" w:fill="auto"/>
            <w:vAlign w:val="bottom"/>
          </w:tcPr>
          <w:p w14:paraId="3448BE42" w14:textId="77777777" w:rsidR="00D83A76" w:rsidRPr="00D73BAD" w:rsidRDefault="00000000">
            <w:pPr>
              <w:pStyle w:val="Dier0"/>
              <w:spacing w:line="240" w:lineRule="auto"/>
              <w:ind w:firstLine="960"/>
              <w:jc w:val="both"/>
              <w:rPr>
                <w:lang w:val="en-US"/>
              </w:rPr>
            </w:pPr>
            <w:r w:rsidRPr="00D73BAD">
              <w:rPr>
                <w:lang w:val="en-US"/>
              </w:rPr>
              <w:t>25</w:t>
            </w:r>
          </w:p>
        </w:tc>
        <w:tc>
          <w:tcPr>
            <w:tcW w:w="2366" w:type="dxa"/>
            <w:tcBorders>
              <w:top w:val="single" w:sz="4" w:space="0" w:color="auto"/>
              <w:left w:val="single" w:sz="4" w:space="0" w:color="auto"/>
              <w:right w:val="single" w:sz="4" w:space="0" w:color="auto"/>
            </w:tcBorders>
            <w:shd w:val="clear" w:color="auto" w:fill="auto"/>
            <w:vAlign w:val="bottom"/>
          </w:tcPr>
          <w:p w14:paraId="65B7A6D1" w14:textId="77777777" w:rsidR="00D83A76" w:rsidRPr="00D73BAD" w:rsidRDefault="00000000">
            <w:pPr>
              <w:pStyle w:val="Dier0"/>
              <w:spacing w:line="240" w:lineRule="auto"/>
              <w:ind w:left="1020"/>
              <w:jc w:val="both"/>
              <w:rPr>
                <w:lang w:val="en-US"/>
              </w:rPr>
            </w:pPr>
            <w:r w:rsidRPr="00D73BAD">
              <w:rPr>
                <w:lang w:val="en-US"/>
              </w:rPr>
              <w:t>15</w:t>
            </w:r>
          </w:p>
        </w:tc>
      </w:tr>
      <w:tr w:rsidR="00D83A76" w:rsidRPr="00D73BAD" w14:paraId="21157BE2" w14:textId="77777777">
        <w:tblPrEx>
          <w:tblCellMar>
            <w:top w:w="0" w:type="dxa"/>
            <w:bottom w:w="0" w:type="dxa"/>
          </w:tblCellMar>
        </w:tblPrEx>
        <w:trPr>
          <w:trHeight w:hRule="exact" w:val="293"/>
          <w:jc w:val="center"/>
        </w:trPr>
        <w:tc>
          <w:tcPr>
            <w:tcW w:w="2347" w:type="dxa"/>
            <w:vMerge/>
            <w:tcBorders>
              <w:left w:val="single" w:sz="4" w:space="0" w:color="auto"/>
            </w:tcBorders>
            <w:shd w:val="clear" w:color="auto" w:fill="auto"/>
          </w:tcPr>
          <w:p w14:paraId="582B8549" w14:textId="77777777" w:rsidR="00D83A76" w:rsidRPr="00D73BAD" w:rsidRDefault="00D83A76">
            <w:pPr>
              <w:rPr>
                <w:lang w:val="en-US"/>
              </w:rPr>
            </w:pPr>
          </w:p>
        </w:tc>
        <w:tc>
          <w:tcPr>
            <w:tcW w:w="2362" w:type="dxa"/>
            <w:tcBorders>
              <w:top w:val="single" w:sz="4" w:space="0" w:color="auto"/>
              <w:left w:val="single" w:sz="4" w:space="0" w:color="auto"/>
            </w:tcBorders>
            <w:shd w:val="clear" w:color="auto" w:fill="auto"/>
            <w:vAlign w:val="bottom"/>
          </w:tcPr>
          <w:p w14:paraId="18A51837" w14:textId="5A919B0E" w:rsidR="00D83A76" w:rsidRPr="00D73BAD" w:rsidRDefault="00857FB2">
            <w:pPr>
              <w:pStyle w:val="Dier0"/>
              <w:spacing w:line="240" w:lineRule="auto"/>
              <w:jc w:val="center"/>
              <w:rPr>
                <w:lang w:val="en-US"/>
              </w:rPr>
            </w:pPr>
            <w:r w:rsidRPr="00D73BAD">
              <w:rPr>
                <w:lang w:val="en-US"/>
              </w:rPr>
              <w:t>Reading</w:t>
            </w:r>
          </w:p>
        </w:tc>
        <w:tc>
          <w:tcPr>
            <w:tcW w:w="2357" w:type="dxa"/>
            <w:tcBorders>
              <w:top w:val="single" w:sz="4" w:space="0" w:color="auto"/>
              <w:left w:val="single" w:sz="4" w:space="0" w:color="auto"/>
            </w:tcBorders>
            <w:shd w:val="clear" w:color="auto" w:fill="auto"/>
            <w:vAlign w:val="bottom"/>
          </w:tcPr>
          <w:p w14:paraId="109EAF87" w14:textId="77777777" w:rsidR="00D83A76" w:rsidRPr="00D73BAD" w:rsidRDefault="00000000">
            <w:pPr>
              <w:pStyle w:val="Dier0"/>
              <w:spacing w:line="240" w:lineRule="auto"/>
              <w:ind w:firstLine="960"/>
              <w:jc w:val="both"/>
              <w:rPr>
                <w:lang w:val="en-US"/>
              </w:rPr>
            </w:pPr>
            <w:r w:rsidRPr="00D73BAD">
              <w:rPr>
                <w:lang w:val="en-US"/>
              </w:rPr>
              <w:t>25</w:t>
            </w:r>
          </w:p>
        </w:tc>
        <w:tc>
          <w:tcPr>
            <w:tcW w:w="2366" w:type="dxa"/>
            <w:tcBorders>
              <w:top w:val="single" w:sz="4" w:space="0" w:color="auto"/>
              <w:left w:val="single" w:sz="4" w:space="0" w:color="auto"/>
              <w:right w:val="single" w:sz="4" w:space="0" w:color="auto"/>
            </w:tcBorders>
            <w:shd w:val="clear" w:color="auto" w:fill="auto"/>
            <w:vAlign w:val="bottom"/>
          </w:tcPr>
          <w:p w14:paraId="32C094B4" w14:textId="77777777" w:rsidR="00D83A76" w:rsidRPr="00D73BAD" w:rsidRDefault="00000000">
            <w:pPr>
              <w:pStyle w:val="Dier0"/>
              <w:spacing w:line="240" w:lineRule="auto"/>
              <w:ind w:left="1020"/>
              <w:jc w:val="both"/>
              <w:rPr>
                <w:lang w:val="en-US"/>
              </w:rPr>
            </w:pPr>
            <w:r w:rsidRPr="00D73BAD">
              <w:rPr>
                <w:lang w:val="en-US"/>
              </w:rPr>
              <w:t>15</w:t>
            </w:r>
          </w:p>
        </w:tc>
      </w:tr>
      <w:tr w:rsidR="00D83A76" w:rsidRPr="00D73BAD" w14:paraId="64B4FCC7" w14:textId="77777777">
        <w:tblPrEx>
          <w:tblCellMar>
            <w:top w:w="0" w:type="dxa"/>
            <w:bottom w:w="0" w:type="dxa"/>
          </w:tblCellMar>
        </w:tblPrEx>
        <w:trPr>
          <w:trHeight w:hRule="exact" w:val="293"/>
          <w:jc w:val="center"/>
        </w:trPr>
        <w:tc>
          <w:tcPr>
            <w:tcW w:w="2347" w:type="dxa"/>
            <w:vMerge w:val="restart"/>
            <w:tcBorders>
              <w:top w:val="single" w:sz="4" w:space="0" w:color="auto"/>
              <w:left w:val="single" w:sz="4" w:space="0" w:color="auto"/>
            </w:tcBorders>
            <w:shd w:val="clear" w:color="auto" w:fill="auto"/>
          </w:tcPr>
          <w:p w14:paraId="503E534F" w14:textId="3BF8D180" w:rsidR="00D83A76" w:rsidRPr="00D73BAD" w:rsidRDefault="00795736">
            <w:pPr>
              <w:pStyle w:val="Dier0"/>
              <w:spacing w:line="240" w:lineRule="auto"/>
              <w:jc w:val="center"/>
              <w:rPr>
                <w:lang w:val="en-US"/>
              </w:rPr>
            </w:pPr>
            <w:r w:rsidRPr="00D73BAD">
              <w:rPr>
                <w:b/>
                <w:bCs/>
                <w:lang w:val="en-US"/>
              </w:rPr>
              <w:t>Speaking</w:t>
            </w:r>
          </w:p>
        </w:tc>
        <w:tc>
          <w:tcPr>
            <w:tcW w:w="2362" w:type="dxa"/>
            <w:tcBorders>
              <w:top w:val="single" w:sz="4" w:space="0" w:color="auto"/>
              <w:left w:val="single" w:sz="4" w:space="0" w:color="auto"/>
            </w:tcBorders>
            <w:shd w:val="clear" w:color="auto" w:fill="auto"/>
            <w:vAlign w:val="bottom"/>
          </w:tcPr>
          <w:p w14:paraId="020EDF1C" w14:textId="566A6703" w:rsidR="00D83A76" w:rsidRPr="00D73BAD" w:rsidRDefault="00857FB2" w:rsidP="00857FB2">
            <w:pPr>
              <w:pStyle w:val="Dier0"/>
              <w:spacing w:line="240" w:lineRule="auto"/>
              <w:jc w:val="center"/>
              <w:rPr>
                <w:lang w:val="en-US"/>
              </w:rPr>
            </w:pPr>
            <w:r w:rsidRPr="00D73BAD">
              <w:rPr>
                <w:lang w:val="en-US"/>
              </w:rPr>
              <w:t>Dialogue</w:t>
            </w:r>
          </w:p>
        </w:tc>
        <w:tc>
          <w:tcPr>
            <w:tcW w:w="2357" w:type="dxa"/>
            <w:tcBorders>
              <w:top w:val="single" w:sz="4" w:space="0" w:color="auto"/>
              <w:left w:val="single" w:sz="4" w:space="0" w:color="auto"/>
            </w:tcBorders>
            <w:shd w:val="clear" w:color="auto" w:fill="auto"/>
            <w:vAlign w:val="bottom"/>
          </w:tcPr>
          <w:p w14:paraId="0F91EDBF" w14:textId="77777777" w:rsidR="00D83A76" w:rsidRPr="00D73BAD" w:rsidRDefault="00000000">
            <w:pPr>
              <w:pStyle w:val="Dier0"/>
              <w:spacing w:line="240" w:lineRule="auto"/>
              <w:ind w:firstLine="960"/>
              <w:jc w:val="both"/>
              <w:rPr>
                <w:lang w:val="en-US"/>
              </w:rPr>
            </w:pPr>
            <w:r w:rsidRPr="00D73BAD">
              <w:rPr>
                <w:lang w:val="en-US"/>
              </w:rPr>
              <w:t>15</w:t>
            </w:r>
          </w:p>
        </w:tc>
        <w:tc>
          <w:tcPr>
            <w:tcW w:w="2366" w:type="dxa"/>
            <w:tcBorders>
              <w:top w:val="single" w:sz="4" w:space="0" w:color="auto"/>
              <w:left w:val="single" w:sz="4" w:space="0" w:color="auto"/>
              <w:right w:val="single" w:sz="4" w:space="0" w:color="auto"/>
            </w:tcBorders>
            <w:shd w:val="clear" w:color="auto" w:fill="auto"/>
            <w:vAlign w:val="bottom"/>
          </w:tcPr>
          <w:p w14:paraId="6C5A712F" w14:textId="77777777" w:rsidR="00D83A76" w:rsidRPr="00D73BAD" w:rsidRDefault="00000000">
            <w:pPr>
              <w:pStyle w:val="Dier0"/>
              <w:spacing w:line="240" w:lineRule="auto"/>
              <w:jc w:val="center"/>
              <w:rPr>
                <w:lang w:val="en-US"/>
              </w:rPr>
            </w:pPr>
            <w:r w:rsidRPr="00D73BAD">
              <w:rPr>
                <w:lang w:val="en-US"/>
              </w:rPr>
              <w:t>9</w:t>
            </w:r>
          </w:p>
        </w:tc>
      </w:tr>
      <w:tr w:rsidR="00D83A76" w:rsidRPr="00D73BAD" w14:paraId="537FA812" w14:textId="77777777">
        <w:tblPrEx>
          <w:tblCellMar>
            <w:top w:w="0" w:type="dxa"/>
            <w:bottom w:w="0" w:type="dxa"/>
          </w:tblCellMar>
        </w:tblPrEx>
        <w:trPr>
          <w:trHeight w:hRule="exact" w:val="288"/>
          <w:jc w:val="center"/>
        </w:trPr>
        <w:tc>
          <w:tcPr>
            <w:tcW w:w="2347" w:type="dxa"/>
            <w:vMerge/>
            <w:tcBorders>
              <w:left w:val="single" w:sz="4" w:space="0" w:color="auto"/>
            </w:tcBorders>
            <w:shd w:val="clear" w:color="auto" w:fill="auto"/>
          </w:tcPr>
          <w:p w14:paraId="0E523CEE" w14:textId="77777777" w:rsidR="00D83A76" w:rsidRPr="00D73BAD" w:rsidRDefault="00D83A76">
            <w:pPr>
              <w:rPr>
                <w:lang w:val="en-US"/>
              </w:rPr>
            </w:pPr>
          </w:p>
        </w:tc>
        <w:tc>
          <w:tcPr>
            <w:tcW w:w="2362" w:type="dxa"/>
            <w:tcBorders>
              <w:top w:val="single" w:sz="4" w:space="0" w:color="auto"/>
              <w:left w:val="single" w:sz="4" w:space="0" w:color="auto"/>
            </w:tcBorders>
            <w:shd w:val="clear" w:color="auto" w:fill="auto"/>
            <w:vAlign w:val="bottom"/>
          </w:tcPr>
          <w:p w14:paraId="03F839C0" w14:textId="1A67A13F" w:rsidR="00D83A76" w:rsidRPr="00D73BAD" w:rsidRDefault="00857FB2" w:rsidP="00857FB2">
            <w:pPr>
              <w:pStyle w:val="Dier0"/>
              <w:spacing w:line="240" w:lineRule="auto"/>
              <w:jc w:val="center"/>
              <w:rPr>
                <w:lang w:val="en-US"/>
              </w:rPr>
            </w:pPr>
            <w:r w:rsidRPr="00D73BAD">
              <w:rPr>
                <w:lang w:val="en-US"/>
              </w:rPr>
              <w:t>Independent Speaking</w:t>
            </w:r>
          </w:p>
        </w:tc>
        <w:tc>
          <w:tcPr>
            <w:tcW w:w="2357" w:type="dxa"/>
            <w:tcBorders>
              <w:top w:val="single" w:sz="4" w:space="0" w:color="auto"/>
              <w:left w:val="single" w:sz="4" w:space="0" w:color="auto"/>
            </w:tcBorders>
            <w:shd w:val="clear" w:color="auto" w:fill="auto"/>
            <w:vAlign w:val="bottom"/>
          </w:tcPr>
          <w:p w14:paraId="64CC3292" w14:textId="77777777" w:rsidR="00D83A76" w:rsidRPr="00D73BAD" w:rsidRDefault="00000000">
            <w:pPr>
              <w:pStyle w:val="Dier0"/>
              <w:spacing w:line="240" w:lineRule="auto"/>
              <w:ind w:firstLine="960"/>
              <w:jc w:val="both"/>
              <w:rPr>
                <w:lang w:val="en-US"/>
              </w:rPr>
            </w:pPr>
            <w:r w:rsidRPr="00D73BAD">
              <w:rPr>
                <w:lang w:val="en-US"/>
              </w:rPr>
              <w:t>10</w:t>
            </w:r>
          </w:p>
        </w:tc>
        <w:tc>
          <w:tcPr>
            <w:tcW w:w="2366" w:type="dxa"/>
            <w:tcBorders>
              <w:top w:val="single" w:sz="4" w:space="0" w:color="auto"/>
              <w:left w:val="single" w:sz="4" w:space="0" w:color="auto"/>
              <w:right w:val="single" w:sz="4" w:space="0" w:color="auto"/>
            </w:tcBorders>
            <w:shd w:val="clear" w:color="auto" w:fill="auto"/>
            <w:vAlign w:val="bottom"/>
          </w:tcPr>
          <w:p w14:paraId="08BCF13F" w14:textId="77777777" w:rsidR="00D83A76" w:rsidRPr="00D73BAD" w:rsidRDefault="00000000">
            <w:pPr>
              <w:pStyle w:val="Dier0"/>
              <w:spacing w:line="240" w:lineRule="auto"/>
              <w:jc w:val="center"/>
              <w:rPr>
                <w:lang w:val="en-US"/>
              </w:rPr>
            </w:pPr>
            <w:r w:rsidRPr="00D73BAD">
              <w:rPr>
                <w:lang w:val="en-US"/>
              </w:rPr>
              <w:t>6</w:t>
            </w:r>
          </w:p>
        </w:tc>
      </w:tr>
      <w:tr w:rsidR="00D83A76" w:rsidRPr="00D73BAD" w14:paraId="09810BB5" w14:textId="77777777">
        <w:tblPrEx>
          <w:tblCellMar>
            <w:top w:w="0" w:type="dxa"/>
            <w:bottom w:w="0" w:type="dxa"/>
          </w:tblCellMar>
        </w:tblPrEx>
        <w:trPr>
          <w:trHeight w:hRule="exact" w:val="293"/>
          <w:jc w:val="center"/>
        </w:trPr>
        <w:tc>
          <w:tcPr>
            <w:tcW w:w="2347" w:type="dxa"/>
            <w:tcBorders>
              <w:top w:val="single" w:sz="4" w:space="0" w:color="auto"/>
              <w:left w:val="single" w:sz="4" w:space="0" w:color="auto"/>
            </w:tcBorders>
            <w:shd w:val="clear" w:color="auto" w:fill="auto"/>
            <w:vAlign w:val="bottom"/>
          </w:tcPr>
          <w:p w14:paraId="635F9E7E" w14:textId="6817FDE9" w:rsidR="00D83A76" w:rsidRPr="00D73BAD" w:rsidRDefault="00795736">
            <w:pPr>
              <w:pStyle w:val="Dier0"/>
              <w:spacing w:line="240" w:lineRule="auto"/>
              <w:jc w:val="center"/>
              <w:rPr>
                <w:lang w:val="en-US"/>
              </w:rPr>
            </w:pPr>
            <w:r w:rsidRPr="00D73BAD">
              <w:rPr>
                <w:b/>
                <w:bCs/>
                <w:lang w:val="en-US"/>
              </w:rPr>
              <w:t>Writing</w:t>
            </w:r>
          </w:p>
        </w:tc>
        <w:tc>
          <w:tcPr>
            <w:tcW w:w="2362" w:type="dxa"/>
            <w:tcBorders>
              <w:top w:val="single" w:sz="4" w:space="0" w:color="auto"/>
              <w:left w:val="single" w:sz="4" w:space="0" w:color="auto"/>
            </w:tcBorders>
            <w:shd w:val="clear" w:color="auto" w:fill="auto"/>
            <w:vAlign w:val="bottom"/>
          </w:tcPr>
          <w:p w14:paraId="66502D73" w14:textId="4F6BBA23" w:rsidR="00D83A76" w:rsidRPr="00D73BAD" w:rsidRDefault="00857FB2" w:rsidP="00857FB2">
            <w:pPr>
              <w:pStyle w:val="Dier0"/>
              <w:spacing w:line="240" w:lineRule="auto"/>
              <w:jc w:val="center"/>
              <w:rPr>
                <w:lang w:val="en-US"/>
              </w:rPr>
            </w:pPr>
            <w:r w:rsidRPr="00D73BAD">
              <w:rPr>
                <w:lang w:val="en-US"/>
              </w:rPr>
              <w:t>Written Expression</w:t>
            </w:r>
          </w:p>
        </w:tc>
        <w:tc>
          <w:tcPr>
            <w:tcW w:w="2357" w:type="dxa"/>
            <w:tcBorders>
              <w:top w:val="single" w:sz="4" w:space="0" w:color="auto"/>
              <w:left w:val="single" w:sz="4" w:space="0" w:color="auto"/>
            </w:tcBorders>
            <w:shd w:val="clear" w:color="auto" w:fill="auto"/>
            <w:vAlign w:val="bottom"/>
          </w:tcPr>
          <w:p w14:paraId="2CEC8146" w14:textId="77777777" w:rsidR="00D83A76" w:rsidRPr="00D73BAD" w:rsidRDefault="00000000">
            <w:pPr>
              <w:pStyle w:val="Dier0"/>
              <w:spacing w:line="240" w:lineRule="auto"/>
              <w:ind w:firstLine="960"/>
              <w:jc w:val="both"/>
              <w:rPr>
                <w:lang w:val="en-US"/>
              </w:rPr>
            </w:pPr>
            <w:r w:rsidRPr="00D73BAD">
              <w:rPr>
                <w:lang w:val="en-US"/>
              </w:rPr>
              <w:t>25</w:t>
            </w:r>
          </w:p>
        </w:tc>
        <w:tc>
          <w:tcPr>
            <w:tcW w:w="2366" w:type="dxa"/>
            <w:tcBorders>
              <w:top w:val="single" w:sz="4" w:space="0" w:color="auto"/>
              <w:left w:val="single" w:sz="4" w:space="0" w:color="auto"/>
              <w:right w:val="single" w:sz="4" w:space="0" w:color="auto"/>
            </w:tcBorders>
            <w:shd w:val="clear" w:color="auto" w:fill="auto"/>
            <w:vAlign w:val="bottom"/>
          </w:tcPr>
          <w:p w14:paraId="082834DF" w14:textId="77777777" w:rsidR="00D83A76" w:rsidRPr="00D73BAD" w:rsidRDefault="00000000">
            <w:pPr>
              <w:pStyle w:val="Dier0"/>
              <w:spacing w:line="240" w:lineRule="auto"/>
              <w:ind w:left="1020"/>
              <w:jc w:val="both"/>
              <w:rPr>
                <w:lang w:val="en-US"/>
              </w:rPr>
            </w:pPr>
            <w:r w:rsidRPr="00D73BAD">
              <w:rPr>
                <w:lang w:val="en-US"/>
              </w:rPr>
              <w:t>15</w:t>
            </w:r>
          </w:p>
        </w:tc>
      </w:tr>
      <w:tr w:rsidR="00D83A76" w:rsidRPr="00D73BAD" w14:paraId="400F1C23" w14:textId="77777777">
        <w:tblPrEx>
          <w:tblCellMar>
            <w:top w:w="0" w:type="dxa"/>
            <w:bottom w:w="0" w:type="dxa"/>
          </w:tblCellMar>
        </w:tblPrEx>
        <w:trPr>
          <w:trHeight w:hRule="exact" w:val="302"/>
          <w:jc w:val="center"/>
        </w:trPr>
        <w:tc>
          <w:tcPr>
            <w:tcW w:w="4709" w:type="dxa"/>
            <w:gridSpan w:val="2"/>
            <w:tcBorders>
              <w:top w:val="single" w:sz="4" w:space="0" w:color="auto"/>
              <w:left w:val="single" w:sz="4" w:space="0" w:color="auto"/>
              <w:bottom w:val="single" w:sz="4" w:space="0" w:color="auto"/>
            </w:tcBorders>
            <w:shd w:val="clear" w:color="auto" w:fill="auto"/>
            <w:vAlign w:val="bottom"/>
          </w:tcPr>
          <w:p w14:paraId="36AAD72D" w14:textId="16B58F41" w:rsidR="00D83A76" w:rsidRPr="00D73BAD" w:rsidRDefault="00857FB2">
            <w:pPr>
              <w:pStyle w:val="Dier0"/>
              <w:spacing w:line="240" w:lineRule="auto"/>
              <w:jc w:val="center"/>
              <w:rPr>
                <w:lang w:val="en-US"/>
              </w:rPr>
            </w:pPr>
            <w:r w:rsidRPr="00D73BAD">
              <w:rPr>
                <w:b/>
                <w:bCs/>
                <w:lang w:val="en-US"/>
              </w:rPr>
              <w:t>Total</w:t>
            </w:r>
          </w:p>
        </w:tc>
        <w:tc>
          <w:tcPr>
            <w:tcW w:w="2357" w:type="dxa"/>
            <w:tcBorders>
              <w:top w:val="single" w:sz="4" w:space="0" w:color="auto"/>
              <w:left w:val="single" w:sz="4" w:space="0" w:color="auto"/>
              <w:bottom w:val="single" w:sz="4" w:space="0" w:color="auto"/>
            </w:tcBorders>
            <w:shd w:val="clear" w:color="auto" w:fill="auto"/>
            <w:vAlign w:val="bottom"/>
          </w:tcPr>
          <w:p w14:paraId="530DAA92" w14:textId="77777777" w:rsidR="00D83A76" w:rsidRPr="00D73BAD" w:rsidRDefault="00000000">
            <w:pPr>
              <w:pStyle w:val="Dier0"/>
              <w:spacing w:line="240" w:lineRule="auto"/>
              <w:jc w:val="center"/>
              <w:rPr>
                <w:lang w:val="en-US"/>
              </w:rPr>
            </w:pPr>
            <w:r w:rsidRPr="00D73BAD">
              <w:rPr>
                <w:lang w:val="en-US"/>
              </w:rPr>
              <w:t>100</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14:paraId="4E5578FB" w14:textId="77777777" w:rsidR="00D83A76" w:rsidRPr="00D73BAD" w:rsidRDefault="00000000">
            <w:pPr>
              <w:pStyle w:val="Dier0"/>
              <w:spacing w:line="240" w:lineRule="auto"/>
              <w:ind w:left="1020"/>
              <w:jc w:val="both"/>
              <w:rPr>
                <w:lang w:val="en-US"/>
              </w:rPr>
            </w:pPr>
            <w:r w:rsidRPr="00D73BAD">
              <w:rPr>
                <w:lang w:val="en-US"/>
              </w:rPr>
              <w:t>60</w:t>
            </w:r>
          </w:p>
        </w:tc>
      </w:tr>
    </w:tbl>
    <w:p w14:paraId="1EB73439" w14:textId="77777777" w:rsidR="00D83A76" w:rsidRPr="00D73BAD" w:rsidRDefault="00D83A76">
      <w:pPr>
        <w:spacing w:after="259" w:line="1" w:lineRule="exact"/>
        <w:rPr>
          <w:lang w:val="en-US"/>
        </w:rPr>
      </w:pPr>
    </w:p>
    <w:p w14:paraId="755B2973" w14:textId="66D0A1BD" w:rsidR="00D83A76" w:rsidRPr="00D73BAD" w:rsidRDefault="000A0D99">
      <w:pPr>
        <w:pStyle w:val="Gvdemetni0"/>
        <w:numPr>
          <w:ilvl w:val="0"/>
          <w:numId w:val="5"/>
        </w:numPr>
        <w:tabs>
          <w:tab w:val="left" w:pos="446"/>
        </w:tabs>
        <w:rPr>
          <w:lang w:val="en-US"/>
        </w:rPr>
      </w:pPr>
      <w:r w:rsidRPr="00D73BAD">
        <w:rPr>
          <w:lang w:val="en-US"/>
        </w:rPr>
        <w:t>The proposal of the Central Board of Directors to change the module success criteria when necessary is decided by the Senate</w:t>
      </w:r>
      <w:r w:rsidR="00000000" w:rsidRPr="00D73BAD">
        <w:rPr>
          <w:lang w:val="en-US"/>
        </w:rPr>
        <w:t>.</w:t>
      </w:r>
    </w:p>
    <w:p w14:paraId="45520A34" w14:textId="32541DE9" w:rsidR="00D83A76" w:rsidRPr="00D73BAD" w:rsidRDefault="000A0D99">
      <w:pPr>
        <w:pStyle w:val="Gvdemetni0"/>
        <w:numPr>
          <w:ilvl w:val="0"/>
          <w:numId w:val="5"/>
        </w:numPr>
        <w:tabs>
          <w:tab w:val="left" w:pos="456"/>
        </w:tabs>
        <w:spacing w:after="260"/>
        <w:rPr>
          <w:lang w:val="en-US"/>
        </w:rPr>
      </w:pPr>
      <w:r w:rsidRPr="00D73BAD">
        <w:rPr>
          <w:lang w:val="en-US"/>
        </w:rPr>
        <w:t>Students/trainees are responsible for following their success status through the Student Affairs System</w:t>
      </w:r>
      <w:r w:rsidR="00000000" w:rsidRPr="00D73BAD">
        <w:rPr>
          <w:lang w:val="en-US"/>
        </w:rPr>
        <w:t>.</w:t>
      </w:r>
      <w:r w:rsidR="00000000" w:rsidRPr="00D73BAD">
        <w:rPr>
          <w:lang w:val="en-US"/>
        </w:rPr>
        <w:br w:type="page"/>
      </w:r>
    </w:p>
    <w:p w14:paraId="775E363E" w14:textId="149CE0B2" w:rsidR="00D83A76" w:rsidRPr="00D73BAD" w:rsidRDefault="00000000">
      <w:pPr>
        <w:pStyle w:val="Gvdemetni0"/>
        <w:spacing w:line="240" w:lineRule="auto"/>
        <w:jc w:val="both"/>
        <w:rPr>
          <w:lang w:val="en-US"/>
        </w:rPr>
      </w:pPr>
      <w:r w:rsidRPr="00D73BAD">
        <w:rPr>
          <w:noProof/>
          <w:lang w:val="en-US"/>
        </w:rPr>
        <w:lastRenderedPageBreak/>
        <mc:AlternateContent>
          <mc:Choice Requires="wps">
            <w:drawing>
              <wp:anchor distT="0" distB="0" distL="114300" distR="114300" simplePos="0" relativeHeight="125829378" behindDoc="0" locked="0" layoutInCell="1" allowOverlap="1" wp14:anchorId="6EBDDA45" wp14:editId="046B6CA6">
                <wp:simplePos x="0" y="0"/>
                <wp:positionH relativeFrom="page">
                  <wp:posOffset>900430</wp:posOffset>
                </wp:positionH>
                <wp:positionV relativeFrom="margin">
                  <wp:posOffset>0</wp:posOffset>
                </wp:positionV>
                <wp:extent cx="1155065" cy="2222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155065" cy="222250"/>
                        </a:xfrm>
                        <a:prstGeom prst="rect">
                          <a:avLst/>
                        </a:prstGeom>
                        <a:noFill/>
                      </wps:spPr>
                      <wps:txbx>
                        <w:txbxContent>
                          <w:p w14:paraId="62FD8D3C" w14:textId="4E73A8F4" w:rsidR="00D83A76" w:rsidRPr="005C5B8D" w:rsidRDefault="00EE3FC5">
                            <w:pPr>
                              <w:pStyle w:val="Gvdemetni0"/>
                              <w:spacing w:line="240" w:lineRule="auto"/>
                              <w:rPr>
                                <w:lang w:val="en-US"/>
                              </w:rPr>
                            </w:pPr>
                            <w:r w:rsidRPr="005C5B8D">
                              <w:rPr>
                                <w:b/>
                                <w:bCs/>
                                <w:lang w:val="en-US"/>
                              </w:rPr>
                              <w:t>Registration and Fees</w:t>
                            </w:r>
                          </w:p>
                        </w:txbxContent>
                      </wps:txbx>
                      <wps:bodyPr wrap="none" lIns="0" tIns="0" rIns="0" bIns="0"/>
                    </wps:wsp>
                  </a:graphicData>
                </a:graphic>
              </wp:anchor>
            </w:drawing>
          </mc:Choice>
          <mc:Fallback>
            <w:pict>
              <v:shapetype w14:anchorId="6EBDDA45" id="_x0000_t202" coordsize="21600,21600" o:spt="202" path="m,l,21600r21600,l21600,xe">
                <v:stroke joinstyle="miter"/>
                <v:path gradientshapeok="t" o:connecttype="rect"/>
              </v:shapetype>
              <v:shape id="Shape 1" o:spid="_x0000_s1026" type="#_x0000_t202" style="position:absolute;left:0;text-align:left;margin-left:70.9pt;margin-top:0;width:90.95pt;height:17.5pt;z-index:125829378;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" filled="f" stroked="f">
                <v:textbox inset="0,0,0,0">
                  <w:txbxContent>
                    <w:p w14:paraId="62FD8D3C" w14:textId="4E73A8F4" w:rsidR="00D83A76" w:rsidRPr="005C5B8D" w:rsidRDefault="00EE3FC5">
                      <w:pPr>
                        <w:pStyle w:val="Gvdemetni0"/>
                        <w:spacing w:line="240" w:lineRule="auto"/>
                        <w:rPr>
                          <w:lang w:val="en-US"/>
                        </w:rPr>
                      </w:pPr>
                      <w:r w:rsidRPr="005C5B8D">
                        <w:rPr>
                          <w:b/>
                          <w:bCs/>
                          <w:lang w:val="en-US"/>
                        </w:rPr>
                        <w:t>Registration and Fees</w:t>
                      </w:r>
                    </w:p>
                  </w:txbxContent>
                </v:textbox>
                <w10:wrap type="topAndBottom" anchorx="page" anchory="margin"/>
              </v:shape>
            </w:pict>
          </mc:Fallback>
        </mc:AlternateContent>
      </w:r>
      <w:r w:rsidR="001C603D" w:rsidRPr="00D73BAD">
        <w:rPr>
          <w:b/>
          <w:bCs/>
          <w:lang w:val="en-US" w:eastAsia="en-US" w:bidi="en-US"/>
        </w:rPr>
        <w:t xml:space="preserve">ARTICLE </w:t>
      </w:r>
      <w:r w:rsidRPr="00D73BAD">
        <w:rPr>
          <w:b/>
          <w:bCs/>
          <w:lang w:val="en-US"/>
        </w:rPr>
        <w:t xml:space="preserve">10- </w:t>
      </w:r>
      <w:r w:rsidRPr="00D73BAD">
        <w:rPr>
          <w:lang w:val="en-US"/>
        </w:rPr>
        <w:t xml:space="preserve">(1) </w:t>
      </w:r>
      <w:r w:rsidR="009932D0" w:rsidRPr="00D73BAD">
        <w:rPr>
          <w:lang w:val="en-US"/>
        </w:rPr>
        <w:t>The documents, application process, acceptance conditions and registration dates required to register to Turkish Teaching Application and Research Center shall be announced on the website of the Center.</w:t>
      </w:r>
      <w:r w:rsidR="009932D0" w:rsidRPr="00D73BAD">
        <w:rPr>
          <w:lang w:val="en-US"/>
        </w:rPr>
        <w:t xml:space="preserve"> </w:t>
      </w:r>
    </w:p>
    <w:p w14:paraId="7453E20E" w14:textId="60766C35" w:rsidR="00D83A76" w:rsidRPr="00D73BAD" w:rsidRDefault="009932D0">
      <w:pPr>
        <w:pStyle w:val="Gvdemetni0"/>
        <w:numPr>
          <w:ilvl w:val="0"/>
          <w:numId w:val="6"/>
        </w:numPr>
        <w:tabs>
          <w:tab w:val="left" w:pos="474"/>
        </w:tabs>
        <w:jc w:val="both"/>
        <w:rPr>
          <w:lang w:val="en-US"/>
        </w:rPr>
      </w:pPr>
      <w:r w:rsidRPr="00D73BAD">
        <w:rPr>
          <w:lang w:val="en-US"/>
        </w:rPr>
        <w:t>The tuition fees for the exams conducted by the Center and the Turkish Language Course are determined by the Board of Trustees upon the recommendation of the Center's Board of Directors</w:t>
      </w:r>
      <w:r w:rsidR="00000000" w:rsidRPr="00D73BAD">
        <w:rPr>
          <w:lang w:val="en-US"/>
        </w:rPr>
        <w:t>.</w:t>
      </w:r>
      <w:r w:rsidRPr="00D73BAD">
        <w:rPr>
          <w:lang w:val="en-US"/>
        </w:rPr>
        <w:t xml:space="preserve"> </w:t>
      </w:r>
    </w:p>
    <w:p w14:paraId="511424E7" w14:textId="3B3CF30C" w:rsidR="00D83A76" w:rsidRPr="00D73BAD" w:rsidRDefault="009932D0">
      <w:pPr>
        <w:pStyle w:val="Gvdemetni0"/>
        <w:numPr>
          <w:ilvl w:val="0"/>
          <w:numId w:val="6"/>
        </w:numPr>
        <w:tabs>
          <w:tab w:val="left" w:pos="469"/>
        </w:tabs>
        <w:jc w:val="both"/>
        <w:rPr>
          <w:lang w:val="en-US"/>
        </w:rPr>
      </w:pPr>
      <w:r w:rsidRPr="00D73BAD">
        <w:rPr>
          <w:lang w:val="en-US"/>
        </w:rPr>
        <w:t>If a student/trainee who has paid the course and/or exam fee cannot attend the course and/or exam for various reasons, the fee paid will not be refunded. However, in cases deemed valid, a decision will be made regarding the student/trainee by the decision of the Board of Directors and the Board of Trustees</w:t>
      </w:r>
      <w:r w:rsidR="00000000" w:rsidRPr="00D73BAD">
        <w:rPr>
          <w:lang w:val="en-US"/>
        </w:rPr>
        <w:t>.</w:t>
      </w:r>
    </w:p>
    <w:p w14:paraId="0CD88877" w14:textId="70DE28DB" w:rsidR="00D83A76" w:rsidRPr="00D73BAD" w:rsidRDefault="009932D0">
      <w:pPr>
        <w:pStyle w:val="Gvdemetni0"/>
        <w:numPr>
          <w:ilvl w:val="0"/>
          <w:numId w:val="6"/>
        </w:numPr>
        <w:tabs>
          <w:tab w:val="left" w:pos="469"/>
        </w:tabs>
        <w:jc w:val="both"/>
        <w:rPr>
          <w:lang w:val="en-US"/>
        </w:rPr>
      </w:pPr>
      <w:r w:rsidRPr="00D73BAD">
        <w:rPr>
          <w:lang w:val="en-US"/>
        </w:rPr>
        <w:t>Students/trainees who fail the level they are currently attending and cannot move on to the next level must re-register by paying the relevant level fee in order to repeat the level they failed</w:t>
      </w:r>
      <w:r w:rsidR="00000000" w:rsidRPr="00D73BAD">
        <w:rPr>
          <w:lang w:val="en-US"/>
        </w:rPr>
        <w:t>.</w:t>
      </w:r>
    </w:p>
    <w:p w14:paraId="69F7E8D6" w14:textId="798E4356" w:rsidR="00D83A76" w:rsidRPr="00D73BAD" w:rsidRDefault="009932D0">
      <w:pPr>
        <w:pStyle w:val="Gvdemetni0"/>
        <w:numPr>
          <w:ilvl w:val="0"/>
          <w:numId w:val="6"/>
        </w:numPr>
        <w:tabs>
          <w:tab w:val="left" w:pos="464"/>
        </w:tabs>
        <w:jc w:val="both"/>
        <w:rPr>
          <w:lang w:val="en-US"/>
        </w:rPr>
      </w:pPr>
      <w:r w:rsidRPr="00D73BAD">
        <w:rPr>
          <w:lang w:val="en-US"/>
        </w:rPr>
        <w:t>Students/trainees who have participated in Turkish Language Course learning activities have the right to take the Turkish Proficiency Exam once free of charge</w:t>
      </w:r>
      <w:r w:rsidR="00000000" w:rsidRPr="00D73BAD">
        <w:rPr>
          <w:lang w:val="en-US"/>
        </w:rPr>
        <w:t>.</w:t>
      </w:r>
    </w:p>
    <w:p w14:paraId="0EC73FC5" w14:textId="32490092" w:rsidR="009932D0" w:rsidRPr="00D73BAD" w:rsidRDefault="009932D0">
      <w:pPr>
        <w:pStyle w:val="Gvdemetni0"/>
        <w:numPr>
          <w:ilvl w:val="0"/>
          <w:numId w:val="6"/>
        </w:numPr>
        <w:tabs>
          <w:tab w:val="left" w:pos="474"/>
        </w:tabs>
        <w:jc w:val="both"/>
        <w:rPr>
          <w:lang w:val="en-US"/>
        </w:rPr>
      </w:pPr>
      <w:r w:rsidRPr="00D73BAD">
        <w:rPr>
          <w:lang w:val="en-US"/>
        </w:rPr>
        <w:t xml:space="preserve">Foreign students who do not participate in Turkish Language Course learning activities but will study in </w:t>
      </w:r>
      <w:r w:rsidR="005C5B8D">
        <w:rPr>
          <w:lang w:val="en-US"/>
        </w:rPr>
        <w:t>u</w:t>
      </w:r>
      <w:r w:rsidRPr="00D73BAD">
        <w:rPr>
          <w:lang w:val="en-US"/>
        </w:rPr>
        <w:t>niversity programs can take the Turkish Level Determination Exam or Turkish Proficiency Exam once free of charge.</w:t>
      </w:r>
    </w:p>
    <w:p w14:paraId="7B5FBD77" w14:textId="491D3163" w:rsidR="00D83A76" w:rsidRPr="00D73BAD" w:rsidRDefault="009932D0">
      <w:pPr>
        <w:pStyle w:val="Gvdemetni0"/>
        <w:numPr>
          <w:ilvl w:val="0"/>
          <w:numId w:val="6"/>
        </w:numPr>
        <w:tabs>
          <w:tab w:val="left" w:pos="474"/>
        </w:tabs>
        <w:jc w:val="both"/>
        <w:rPr>
          <w:lang w:val="en-US"/>
        </w:rPr>
      </w:pPr>
      <w:r w:rsidRPr="00D73BAD">
        <w:rPr>
          <w:lang w:val="en-US"/>
        </w:rPr>
        <w:t>Foreign students studying at university and wishing to obtain a Turkish Proficiency Certificate can take the Turkish Proficiency Exam by paying the fee</w:t>
      </w:r>
      <w:r w:rsidR="00000000" w:rsidRPr="00D73BAD">
        <w:rPr>
          <w:lang w:val="en-US"/>
        </w:rPr>
        <w:t>.</w:t>
      </w:r>
    </w:p>
    <w:p w14:paraId="22F471D9" w14:textId="3341396B" w:rsidR="00D83A76" w:rsidRPr="00D73BAD" w:rsidRDefault="009932D0">
      <w:pPr>
        <w:pStyle w:val="Gvdemetni0"/>
        <w:numPr>
          <w:ilvl w:val="0"/>
          <w:numId w:val="6"/>
        </w:numPr>
        <w:tabs>
          <w:tab w:val="left" w:pos="474"/>
        </w:tabs>
        <w:jc w:val="both"/>
        <w:rPr>
          <w:lang w:val="en-US"/>
        </w:rPr>
      </w:pPr>
      <w:r w:rsidRPr="00D73BAD">
        <w:rPr>
          <w:lang w:val="en-US"/>
        </w:rPr>
        <w:t>Those who do not participate in the Turkish Language Course learning activities as students/trainees but wish to obtain a Turkish Proficiency Certificate can take the Turkish Proficiency Exam conducted by the Center by paying the exam fee</w:t>
      </w:r>
      <w:r w:rsidR="00000000" w:rsidRPr="00D73BAD">
        <w:rPr>
          <w:lang w:val="en-US"/>
        </w:rPr>
        <w:t>.</w:t>
      </w:r>
    </w:p>
    <w:p w14:paraId="16C04FCD" w14:textId="786D9CBF" w:rsidR="00D83A76" w:rsidRPr="00D73BAD" w:rsidRDefault="009932D0">
      <w:pPr>
        <w:pStyle w:val="Gvdemetni0"/>
        <w:numPr>
          <w:ilvl w:val="0"/>
          <w:numId w:val="6"/>
        </w:numPr>
        <w:tabs>
          <w:tab w:val="left" w:pos="474"/>
        </w:tabs>
        <w:spacing w:after="260"/>
        <w:jc w:val="both"/>
        <w:rPr>
          <w:lang w:val="en-US"/>
        </w:rPr>
      </w:pPr>
      <w:r w:rsidRPr="00D73BAD">
        <w:rPr>
          <w:lang w:val="en-US"/>
        </w:rPr>
        <w:t>Student/trainee registration procedures of the Turkish Language Teaching Application and Research Center are carried out by the International Relations Directorate and the Center</w:t>
      </w:r>
      <w:r w:rsidR="00000000" w:rsidRPr="00D73BAD">
        <w:rPr>
          <w:lang w:val="en-US"/>
        </w:rPr>
        <w:t>.</w:t>
      </w:r>
    </w:p>
    <w:p w14:paraId="6AC22743" w14:textId="135900E3" w:rsidR="00D83A76" w:rsidRPr="00D73BAD" w:rsidRDefault="009932D0">
      <w:pPr>
        <w:pStyle w:val="Balk10"/>
        <w:keepNext/>
        <w:keepLines/>
        <w:jc w:val="both"/>
        <w:rPr>
          <w:lang w:val="en-US"/>
        </w:rPr>
      </w:pPr>
      <w:bookmarkStart w:id="5" w:name="bookmark23"/>
      <w:r w:rsidRPr="00D73BAD">
        <w:rPr>
          <w:lang w:val="en-US"/>
        </w:rPr>
        <w:t>Objecting to Grades</w:t>
      </w:r>
      <w:r w:rsidRPr="00D73BAD">
        <w:rPr>
          <w:lang w:val="en-US"/>
        </w:rPr>
        <w:t xml:space="preserve"> </w:t>
      </w:r>
      <w:bookmarkEnd w:id="5"/>
    </w:p>
    <w:p w14:paraId="35693398" w14:textId="3B977DEF" w:rsidR="00D83A76" w:rsidRPr="00D73BAD" w:rsidRDefault="001C603D">
      <w:pPr>
        <w:pStyle w:val="Gvdemetni0"/>
        <w:spacing w:after="260"/>
        <w:jc w:val="both"/>
        <w:rPr>
          <w:lang w:val="en-US"/>
        </w:rPr>
      </w:pPr>
      <w:r w:rsidRPr="00D73BAD">
        <w:rPr>
          <w:b/>
          <w:bCs/>
          <w:lang w:val="en-US" w:eastAsia="en-US" w:bidi="en-US"/>
        </w:rPr>
        <w:t xml:space="preserve">ARTICLE </w:t>
      </w:r>
      <w:r w:rsidR="00000000" w:rsidRPr="00D73BAD">
        <w:rPr>
          <w:b/>
          <w:bCs/>
          <w:lang w:val="en-US"/>
        </w:rPr>
        <w:t xml:space="preserve">11- </w:t>
      </w:r>
      <w:r w:rsidR="00000000" w:rsidRPr="00D73BAD">
        <w:rPr>
          <w:lang w:val="en-US"/>
        </w:rPr>
        <w:t xml:space="preserve">(1) </w:t>
      </w:r>
      <w:r w:rsidR="009932D0" w:rsidRPr="00D73BAD">
        <w:rPr>
          <w:lang w:val="en-US"/>
        </w:rPr>
        <w:t>Objections to grades are carried out in accordance with the relevant article provisions of the Fenerbahçe University Associate and Undergraduate Education Regulation.</w:t>
      </w:r>
      <w:r w:rsidR="009932D0" w:rsidRPr="00D73BAD">
        <w:rPr>
          <w:lang w:val="en-US"/>
        </w:rPr>
        <w:t xml:space="preserve"> </w:t>
      </w:r>
      <w:r w:rsidR="009932D0" w:rsidRPr="00D73BAD">
        <w:rPr>
          <w:lang w:val="en-US"/>
        </w:rPr>
        <w:t>However, if there is a situation that affects the student/trainee's ability to take another exam, objection and evaluation periods may vary</w:t>
      </w:r>
      <w:r w:rsidR="00000000" w:rsidRPr="00D73BAD">
        <w:rPr>
          <w:lang w:val="en-US"/>
        </w:rPr>
        <w:t>.</w:t>
      </w:r>
    </w:p>
    <w:p w14:paraId="1FED2A88" w14:textId="1151DF64" w:rsidR="00D83A76" w:rsidRPr="00D73BAD" w:rsidRDefault="009932D0">
      <w:pPr>
        <w:pStyle w:val="Balk10"/>
        <w:keepNext/>
        <w:keepLines/>
        <w:jc w:val="both"/>
        <w:rPr>
          <w:lang w:val="en-US"/>
        </w:rPr>
      </w:pPr>
      <w:bookmarkStart w:id="6" w:name="bookmark25"/>
      <w:r w:rsidRPr="00D73BAD">
        <w:rPr>
          <w:lang w:val="en-US"/>
        </w:rPr>
        <w:t xml:space="preserve">Attendance to the </w:t>
      </w:r>
      <w:r w:rsidRPr="00D73BAD">
        <w:rPr>
          <w:lang w:val="en-US"/>
        </w:rPr>
        <w:t xml:space="preserve">Course  </w:t>
      </w:r>
      <w:bookmarkEnd w:id="6"/>
    </w:p>
    <w:p w14:paraId="688574DA" w14:textId="31E2D112" w:rsidR="00D83A76" w:rsidRPr="00D73BAD" w:rsidRDefault="001C603D">
      <w:pPr>
        <w:pStyle w:val="Gvdemetni0"/>
        <w:jc w:val="both"/>
        <w:rPr>
          <w:lang w:val="en-US"/>
        </w:rPr>
      </w:pPr>
      <w:r w:rsidRPr="00D73BAD">
        <w:rPr>
          <w:b/>
          <w:bCs/>
          <w:lang w:val="en-US" w:eastAsia="en-US" w:bidi="en-US"/>
        </w:rPr>
        <w:t xml:space="preserve">ARTICLE </w:t>
      </w:r>
      <w:r w:rsidR="00000000" w:rsidRPr="00D73BAD">
        <w:rPr>
          <w:b/>
          <w:bCs/>
          <w:lang w:val="en-US"/>
        </w:rPr>
        <w:t xml:space="preserve">12- </w:t>
      </w:r>
      <w:r w:rsidR="00000000" w:rsidRPr="00D73BAD">
        <w:rPr>
          <w:lang w:val="en-US"/>
        </w:rPr>
        <w:t xml:space="preserve">(1) </w:t>
      </w:r>
      <w:r w:rsidR="008424A0" w:rsidRPr="00D73BAD">
        <w:rPr>
          <w:lang w:val="en-US"/>
        </w:rPr>
        <w:t>It is obligatory for the trainee to continue the course program, practices and other studies deemed appropriate by the instructors.</w:t>
      </w:r>
      <w:r w:rsidR="008424A0" w:rsidRPr="00D73BAD">
        <w:rPr>
          <w:lang w:val="en-US"/>
        </w:rPr>
        <w:t xml:space="preserve"> </w:t>
      </w:r>
      <w:r w:rsidR="008424A0" w:rsidRPr="00D73BAD">
        <w:rPr>
          <w:lang w:val="en-US"/>
        </w:rPr>
        <w:t>Unless a decision is made by the Senate, determining the absence limits and monitoring the attendance status of students/trainees are the responsibility of the relevant instructor.</w:t>
      </w:r>
    </w:p>
    <w:p w14:paraId="62E0BA0B" w14:textId="753195F6" w:rsidR="00D83A76" w:rsidRPr="00D73BAD" w:rsidRDefault="008424A0" w:rsidP="008424A0">
      <w:pPr>
        <w:pStyle w:val="Gvdemetni0"/>
        <w:tabs>
          <w:tab w:val="left" w:pos="474"/>
        </w:tabs>
        <w:jc w:val="both"/>
        <w:rPr>
          <w:lang w:val="en-US"/>
        </w:rPr>
      </w:pPr>
      <w:r w:rsidRPr="00D73BAD">
        <w:rPr>
          <w:lang w:val="en-US"/>
        </w:rPr>
        <w:t xml:space="preserve">(2) </w:t>
      </w:r>
      <w:r w:rsidR="00DE20E9" w:rsidRPr="00D73BAD">
        <w:rPr>
          <w:lang w:val="en-US"/>
        </w:rPr>
        <w:t>The attendance requirement for Turkish Language Course is minimum 80%</w:t>
      </w:r>
      <w:r w:rsidR="00DE20E9" w:rsidRPr="00D73BAD">
        <w:rPr>
          <w:lang w:val="en-US"/>
        </w:rPr>
        <w:t xml:space="preserve">. </w:t>
      </w:r>
      <w:r w:rsidR="00DE20E9" w:rsidRPr="00D73BAD">
        <w:rPr>
          <w:lang w:val="en-US"/>
        </w:rPr>
        <w:t>The student/trainee's absence during a module cannot exceed 20% of the total course hours of the relevant module. The absence period in a module is not added to the absence periods in other modules</w:t>
      </w:r>
      <w:r w:rsidR="00000000" w:rsidRPr="00D73BAD">
        <w:rPr>
          <w:lang w:val="en-US"/>
        </w:rPr>
        <w:t>.</w:t>
      </w:r>
    </w:p>
    <w:p w14:paraId="624E1295" w14:textId="4D2F30EF" w:rsidR="00D83A76" w:rsidRPr="00D73BAD" w:rsidRDefault="008424A0" w:rsidP="008424A0">
      <w:pPr>
        <w:pStyle w:val="Gvdemetni0"/>
        <w:tabs>
          <w:tab w:val="left" w:pos="464"/>
        </w:tabs>
        <w:spacing w:after="260"/>
        <w:jc w:val="both"/>
        <w:rPr>
          <w:lang w:val="en-US"/>
        </w:rPr>
      </w:pPr>
      <w:r w:rsidRPr="00D73BAD">
        <w:rPr>
          <w:lang w:val="en-US"/>
        </w:rPr>
        <w:t xml:space="preserve">(3) </w:t>
      </w:r>
      <w:r w:rsidR="00DE20E9" w:rsidRPr="00D73BAD">
        <w:rPr>
          <w:lang w:val="en-US"/>
        </w:rPr>
        <w:t>Students/trainees whose absences exceed 20% cannot take the final exam at the end of the module if they do not submit a valid document for their absences and are considered to have failed the level at which they continue their education</w:t>
      </w:r>
      <w:r w:rsidR="00000000" w:rsidRPr="00D73BAD">
        <w:rPr>
          <w:lang w:val="en-US"/>
        </w:rPr>
        <w:t>.</w:t>
      </w:r>
    </w:p>
    <w:p w14:paraId="682BCF1E" w14:textId="47D86A00" w:rsidR="00D83A76" w:rsidRPr="00D73BAD" w:rsidRDefault="00D82628" w:rsidP="00D82628">
      <w:pPr>
        <w:pStyle w:val="Gvdemetni0"/>
        <w:tabs>
          <w:tab w:val="left" w:pos="474"/>
        </w:tabs>
        <w:jc w:val="both"/>
        <w:rPr>
          <w:lang w:val="en-US"/>
        </w:rPr>
      </w:pPr>
      <w:r w:rsidRPr="00D73BAD">
        <w:rPr>
          <w:lang w:val="en-US"/>
        </w:rPr>
        <w:lastRenderedPageBreak/>
        <w:t xml:space="preserve">(4) </w:t>
      </w:r>
      <w:r w:rsidR="002A3B61" w:rsidRPr="00D73BAD">
        <w:rPr>
          <w:lang w:val="en-US"/>
        </w:rPr>
        <w:t>Attendance is not required in courses given via distance education methods. In this case, the activities of students/trainees requiring attendance in the courses are determined by the Central Board of Directors and announced in the first week of the relevant module</w:t>
      </w:r>
      <w:r w:rsidR="00000000" w:rsidRPr="00D73BAD">
        <w:rPr>
          <w:lang w:val="en-US"/>
        </w:rPr>
        <w:t>.</w:t>
      </w:r>
    </w:p>
    <w:p w14:paraId="73B5AECD" w14:textId="2E9FD0E3" w:rsidR="00D83A76" w:rsidRPr="00D73BAD" w:rsidRDefault="00D82628" w:rsidP="00D82628">
      <w:pPr>
        <w:pStyle w:val="Gvdemetni0"/>
        <w:tabs>
          <w:tab w:val="left" w:pos="474"/>
        </w:tabs>
        <w:jc w:val="both"/>
        <w:rPr>
          <w:lang w:val="en-US"/>
        </w:rPr>
      </w:pPr>
      <w:r w:rsidRPr="00D73BAD">
        <w:rPr>
          <w:lang w:val="en-US"/>
        </w:rPr>
        <w:t xml:space="preserve">(5) </w:t>
      </w:r>
      <w:r w:rsidR="002A3B61" w:rsidRPr="00D73BAD">
        <w:rPr>
          <w:lang w:val="en-US"/>
        </w:rPr>
        <w:t>The periods during which students/trainees who have received a health report in accordance with the principles determined by the Senate are on sick leave and the periods during which students/trainees assigned by the University to participate in sports, culture, art and scientific activities and competitions and their preparation work are unable to continue their education are not taken into account in the calculation of the duration of attendance. In any case, the total absence and/or leave cannot exceed 50% of the total course hours.</w:t>
      </w:r>
    </w:p>
    <w:p w14:paraId="1BFFE6CF" w14:textId="055E9C6B" w:rsidR="00D83A76" w:rsidRPr="00D73BAD" w:rsidRDefault="00D82628" w:rsidP="00D82628">
      <w:pPr>
        <w:pStyle w:val="Gvdemetni0"/>
        <w:tabs>
          <w:tab w:val="left" w:pos="469"/>
        </w:tabs>
        <w:jc w:val="both"/>
        <w:rPr>
          <w:lang w:val="en-US"/>
        </w:rPr>
      </w:pPr>
      <w:r w:rsidRPr="00D73BAD">
        <w:rPr>
          <w:lang w:val="en-US"/>
        </w:rPr>
        <w:t xml:space="preserve">(6) </w:t>
      </w:r>
      <w:r w:rsidR="002A3B61" w:rsidRPr="00D73BAD">
        <w:rPr>
          <w:lang w:val="en-US"/>
        </w:rPr>
        <w:t>When an application is made to freeze registration, students/trainees are required to attend classes until the decision to freeze registration becomes official. If the application to freeze registration is rejected, the student/trainee is responsible for the absence</w:t>
      </w:r>
      <w:r w:rsidR="00000000" w:rsidRPr="00D73BAD">
        <w:rPr>
          <w:lang w:val="en-US"/>
        </w:rPr>
        <w:t>.</w:t>
      </w:r>
    </w:p>
    <w:p w14:paraId="43466240" w14:textId="2E222968" w:rsidR="00D83A76" w:rsidRPr="00D73BAD" w:rsidRDefault="00D82628" w:rsidP="00D82628">
      <w:pPr>
        <w:pStyle w:val="Gvdemetni0"/>
        <w:tabs>
          <w:tab w:val="left" w:pos="474"/>
        </w:tabs>
        <w:spacing w:after="260"/>
        <w:jc w:val="both"/>
        <w:rPr>
          <w:lang w:val="en-US"/>
        </w:rPr>
      </w:pPr>
      <w:r w:rsidRPr="00D73BAD">
        <w:rPr>
          <w:lang w:val="en-US"/>
        </w:rPr>
        <w:t xml:space="preserve">(7) </w:t>
      </w:r>
      <w:r w:rsidR="002A3B61" w:rsidRPr="00D73BAD">
        <w:rPr>
          <w:lang w:val="en-US"/>
        </w:rPr>
        <w:t>Students/trainees are responsible for monitoring their absences through the Student Affairs System</w:t>
      </w:r>
      <w:r w:rsidR="00000000" w:rsidRPr="00D73BAD">
        <w:rPr>
          <w:lang w:val="en-US"/>
        </w:rPr>
        <w:t>.</w:t>
      </w:r>
    </w:p>
    <w:p w14:paraId="7E33FCED" w14:textId="06087E42" w:rsidR="00D83A76" w:rsidRPr="00D73BAD" w:rsidRDefault="002A3B61">
      <w:pPr>
        <w:pStyle w:val="Balk10"/>
        <w:keepNext/>
        <w:keepLines/>
        <w:jc w:val="both"/>
        <w:rPr>
          <w:lang w:val="en-US"/>
        </w:rPr>
      </w:pPr>
      <w:bookmarkStart w:id="7" w:name="bookmark27"/>
      <w:r w:rsidRPr="00D73BAD">
        <w:rPr>
          <w:lang w:val="en-US"/>
        </w:rPr>
        <w:t xml:space="preserve">Deadline for Submitting </w:t>
      </w:r>
      <w:r w:rsidRPr="00D73BAD">
        <w:rPr>
          <w:lang w:val="en-US"/>
        </w:rPr>
        <w:t>Make-up</w:t>
      </w:r>
      <w:r w:rsidRPr="00D73BAD">
        <w:rPr>
          <w:lang w:val="en-US"/>
        </w:rPr>
        <w:t xml:space="preserve"> Certificate and Conditions for Taking Make-</w:t>
      </w:r>
      <w:r w:rsidRPr="00D73BAD">
        <w:rPr>
          <w:lang w:val="en-US"/>
        </w:rPr>
        <w:t>u</w:t>
      </w:r>
      <w:r w:rsidRPr="00D73BAD">
        <w:rPr>
          <w:lang w:val="en-US"/>
        </w:rPr>
        <w:t>p Exam</w:t>
      </w:r>
      <w:r w:rsidRPr="00D73BAD">
        <w:rPr>
          <w:lang w:val="en-US"/>
        </w:rPr>
        <w:t xml:space="preserve"> </w:t>
      </w:r>
      <w:bookmarkEnd w:id="7"/>
    </w:p>
    <w:p w14:paraId="2B7AFB79" w14:textId="2790376F" w:rsidR="00D83A76" w:rsidRPr="00D73BAD" w:rsidRDefault="001C603D">
      <w:pPr>
        <w:pStyle w:val="Gvdemetni0"/>
        <w:jc w:val="both"/>
        <w:rPr>
          <w:lang w:val="en-US"/>
        </w:rPr>
      </w:pPr>
      <w:r w:rsidRPr="00D73BAD">
        <w:rPr>
          <w:b/>
          <w:bCs/>
          <w:lang w:val="en-US" w:eastAsia="en-US" w:bidi="en-US"/>
        </w:rPr>
        <w:t xml:space="preserve">ARTICLE </w:t>
      </w:r>
      <w:r w:rsidR="00000000" w:rsidRPr="00D73BAD">
        <w:rPr>
          <w:b/>
          <w:bCs/>
          <w:lang w:val="en-US"/>
        </w:rPr>
        <w:t xml:space="preserve">13- </w:t>
      </w:r>
      <w:r w:rsidR="00000000" w:rsidRPr="00D73BAD">
        <w:rPr>
          <w:lang w:val="en-US"/>
        </w:rPr>
        <w:t>(1)</w:t>
      </w:r>
      <w:r w:rsidR="00304B59" w:rsidRPr="00D73BAD">
        <w:rPr>
          <w:lang w:val="en-US"/>
        </w:rPr>
        <w:t xml:space="preserve"> </w:t>
      </w:r>
      <w:r w:rsidR="00304B59" w:rsidRPr="00D73BAD">
        <w:rPr>
          <w:lang w:val="en-US"/>
        </w:rPr>
        <w:t>Trainees shall submit their reports together with a petition to Turkish Teaching Application and Research Center Directorate within 3 (three) business days at the latest after the report completion date.</w:t>
      </w:r>
    </w:p>
    <w:p w14:paraId="280E0FAC" w14:textId="31E54A4D" w:rsidR="00D83A76" w:rsidRPr="00D73BAD" w:rsidRDefault="005E299E" w:rsidP="005E299E">
      <w:pPr>
        <w:pStyle w:val="Gvdemetni0"/>
        <w:tabs>
          <w:tab w:val="left" w:pos="469"/>
        </w:tabs>
        <w:jc w:val="both"/>
        <w:rPr>
          <w:lang w:val="en-US"/>
        </w:rPr>
      </w:pPr>
      <w:r w:rsidRPr="00D73BAD">
        <w:rPr>
          <w:lang w:val="en-US"/>
        </w:rPr>
        <w:t xml:space="preserve">(2) </w:t>
      </w:r>
      <w:r w:rsidR="00205588" w:rsidRPr="00D73BAD">
        <w:rPr>
          <w:lang w:val="en-US"/>
        </w:rPr>
        <w:t>Students/trainees who do not submit a valid document despite exceeding the 20% absence limit and students/trainees who have documents but exceed the document submission deadline lose their right to take the final exam.</w:t>
      </w:r>
    </w:p>
    <w:p w14:paraId="3E7C1499" w14:textId="066099B6" w:rsidR="00D83A76" w:rsidRPr="00D73BAD" w:rsidRDefault="005E299E" w:rsidP="005E299E">
      <w:pPr>
        <w:pStyle w:val="Gvdemetni0"/>
        <w:tabs>
          <w:tab w:val="left" w:pos="474"/>
        </w:tabs>
        <w:jc w:val="both"/>
        <w:rPr>
          <w:lang w:val="en-US"/>
        </w:rPr>
      </w:pPr>
      <w:r w:rsidRPr="00D73BAD">
        <w:rPr>
          <w:lang w:val="en-US"/>
        </w:rPr>
        <w:t xml:space="preserve">(3) </w:t>
      </w:r>
      <w:r w:rsidR="00205588" w:rsidRPr="00D73BAD">
        <w:rPr>
          <w:lang w:val="en-US"/>
        </w:rPr>
        <w:t>The report submission for students/trainees who will take the exam with an excused absence is done as follows:</w:t>
      </w:r>
    </w:p>
    <w:p w14:paraId="16107D6A" w14:textId="417AD0B2" w:rsidR="00205588" w:rsidRPr="00D73BAD" w:rsidRDefault="00000000">
      <w:pPr>
        <w:pStyle w:val="Gvdemetni0"/>
        <w:jc w:val="both"/>
        <w:rPr>
          <w:lang w:val="en-US"/>
        </w:rPr>
      </w:pPr>
      <w:r w:rsidRPr="00D73BAD">
        <w:rPr>
          <w:lang w:val="en-US"/>
        </w:rPr>
        <w:t xml:space="preserve">a) </w:t>
      </w:r>
      <w:r w:rsidR="00205588" w:rsidRPr="00D73BAD">
        <w:rPr>
          <w:lang w:val="en-US"/>
        </w:rPr>
        <w:t>If the report submission period covers the exam dates for which an excuse is valid, a 3 (three) business day submission period is not expected.</w:t>
      </w:r>
      <w:r w:rsidRPr="00D73BAD">
        <w:rPr>
          <w:lang w:val="en-US"/>
        </w:rPr>
        <w:t xml:space="preserve"> </w:t>
      </w:r>
      <w:r w:rsidR="00205588" w:rsidRPr="00D73BAD">
        <w:rPr>
          <w:lang w:val="en-US"/>
        </w:rPr>
        <w:t>When a report needs to be delivered, it can be done at least one day in advance.</w:t>
      </w:r>
    </w:p>
    <w:p w14:paraId="392F06A0" w14:textId="67FE2F1E" w:rsidR="00D83A76" w:rsidRPr="00D73BAD" w:rsidRDefault="00000000">
      <w:pPr>
        <w:pStyle w:val="Gvdemetni0"/>
        <w:jc w:val="both"/>
        <w:rPr>
          <w:lang w:val="en-US"/>
        </w:rPr>
      </w:pPr>
      <w:r w:rsidRPr="00D73BAD">
        <w:rPr>
          <w:lang w:val="en-US"/>
        </w:rPr>
        <w:t xml:space="preserve">b) </w:t>
      </w:r>
      <w:r w:rsidR="00205588" w:rsidRPr="00D73BAD">
        <w:rPr>
          <w:lang w:val="en-US"/>
        </w:rPr>
        <w:t>If the document is not submitted before the make-up exam, the student/trainee cannot take the make-up exam.</w:t>
      </w:r>
    </w:p>
    <w:p w14:paraId="5C1E082F" w14:textId="0F276249" w:rsidR="00D83A76" w:rsidRPr="00D73BAD" w:rsidRDefault="00000000">
      <w:pPr>
        <w:pStyle w:val="Gvdemetni0"/>
        <w:jc w:val="both"/>
        <w:rPr>
          <w:lang w:val="en-US"/>
        </w:rPr>
      </w:pPr>
      <w:r w:rsidRPr="00D73BAD">
        <w:rPr>
          <w:lang w:val="en-US"/>
        </w:rPr>
        <w:t xml:space="preserve">c) </w:t>
      </w:r>
      <w:r w:rsidR="00205588" w:rsidRPr="00D73BAD">
        <w:rPr>
          <w:lang w:val="en-US"/>
        </w:rPr>
        <w:t>Permission to take another make-up exam for a missed make-up exam will not be granted</w:t>
      </w:r>
      <w:r w:rsidRPr="00D73BAD">
        <w:rPr>
          <w:lang w:val="en-US"/>
        </w:rPr>
        <w:t>.</w:t>
      </w:r>
    </w:p>
    <w:p w14:paraId="072CC7AC" w14:textId="342D4542" w:rsidR="00D83A76" w:rsidRPr="00D73BAD" w:rsidRDefault="005E299E" w:rsidP="005E299E">
      <w:pPr>
        <w:pStyle w:val="Gvdemetni0"/>
        <w:tabs>
          <w:tab w:val="left" w:pos="469"/>
        </w:tabs>
        <w:jc w:val="both"/>
        <w:rPr>
          <w:lang w:val="en-US"/>
        </w:rPr>
      </w:pPr>
      <w:r w:rsidRPr="00D73BAD">
        <w:rPr>
          <w:lang w:val="en-US"/>
        </w:rPr>
        <w:t xml:space="preserve">(4) </w:t>
      </w:r>
      <w:r w:rsidR="00205588" w:rsidRPr="00D73BAD">
        <w:rPr>
          <w:lang w:val="en-US"/>
        </w:rPr>
        <w:t xml:space="preserve">There will be no make-up exam for the Turkish </w:t>
      </w:r>
      <w:r w:rsidR="00205588" w:rsidRPr="00D73BAD">
        <w:rPr>
          <w:lang w:val="en-US"/>
        </w:rPr>
        <w:t>Level Determination</w:t>
      </w:r>
      <w:r w:rsidR="00205588" w:rsidRPr="00D73BAD">
        <w:rPr>
          <w:lang w:val="en-US"/>
        </w:rPr>
        <w:t xml:space="preserve"> Exam included in the academic calendar of the Center and the University</w:t>
      </w:r>
      <w:r w:rsidR="00000000" w:rsidRPr="00D73BAD">
        <w:rPr>
          <w:lang w:val="en-US"/>
        </w:rPr>
        <w:t>.</w:t>
      </w:r>
    </w:p>
    <w:p w14:paraId="5BF4C7BB" w14:textId="0E1491F7" w:rsidR="00D83A76" w:rsidRPr="00D73BAD" w:rsidRDefault="005E299E" w:rsidP="005E299E">
      <w:pPr>
        <w:pStyle w:val="Gvdemetni0"/>
        <w:tabs>
          <w:tab w:val="left" w:pos="474"/>
        </w:tabs>
        <w:spacing w:after="560"/>
        <w:jc w:val="both"/>
        <w:rPr>
          <w:lang w:val="en-US"/>
        </w:rPr>
      </w:pPr>
      <w:r w:rsidRPr="00D73BAD">
        <w:rPr>
          <w:lang w:val="en-US"/>
        </w:rPr>
        <w:t xml:space="preserve">(5) </w:t>
      </w:r>
      <w:r w:rsidR="00205588" w:rsidRPr="00D73BAD">
        <w:rPr>
          <w:lang w:val="en-US"/>
        </w:rPr>
        <w:t>Students/trainees who will take the make-up exam are responsible for following the information regarding the exam date and exam location from the Central Board</w:t>
      </w:r>
      <w:r w:rsidR="00205588" w:rsidRPr="00D73BAD">
        <w:rPr>
          <w:lang w:val="en-US"/>
        </w:rPr>
        <w:t xml:space="preserve"> of Directors</w:t>
      </w:r>
      <w:r w:rsidR="00000000" w:rsidRPr="00D73BAD">
        <w:rPr>
          <w:lang w:val="en-US"/>
        </w:rPr>
        <w:t>.</w:t>
      </w:r>
    </w:p>
    <w:p w14:paraId="589F3E41" w14:textId="6003401C" w:rsidR="00D83A76" w:rsidRPr="00D73BAD" w:rsidRDefault="00205588">
      <w:pPr>
        <w:pStyle w:val="Gvdemetni0"/>
        <w:jc w:val="center"/>
        <w:rPr>
          <w:lang w:val="en-US"/>
        </w:rPr>
      </w:pPr>
      <w:r w:rsidRPr="00D73BAD">
        <w:rPr>
          <w:b/>
          <w:bCs/>
          <w:lang w:val="en-US"/>
        </w:rPr>
        <w:t>PART THREE</w:t>
      </w:r>
    </w:p>
    <w:p w14:paraId="70241DF9" w14:textId="6B3AF038" w:rsidR="00D83A76" w:rsidRPr="00D73BAD" w:rsidRDefault="00205588">
      <w:pPr>
        <w:pStyle w:val="Gvdemetni0"/>
        <w:spacing w:after="260"/>
        <w:jc w:val="center"/>
        <w:rPr>
          <w:lang w:val="en-US"/>
        </w:rPr>
      </w:pPr>
      <w:r w:rsidRPr="00D73BAD">
        <w:rPr>
          <w:b/>
          <w:bCs/>
          <w:lang w:val="en-US"/>
        </w:rPr>
        <w:t>Documents and Certificates</w:t>
      </w:r>
      <w:r w:rsidRPr="00D73BAD">
        <w:rPr>
          <w:b/>
          <w:bCs/>
          <w:lang w:val="en-US"/>
        </w:rPr>
        <w:t xml:space="preserve"> </w:t>
      </w:r>
    </w:p>
    <w:p w14:paraId="349EDBE9" w14:textId="6816089F" w:rsidR="00D83A76" w:rsidRPr="00D73BAD" w:rsidRDefault="00205588">
      <w:pPr>
        <w:pStyle w:val="Balk10"/>
        <w:keepNext/>
        <w:keepLines/>
        <w:jc w:val="both"/>
        <w:rPr>
          <w:lang w:val="en-US"/>
        </w:rPr>
      </w:pPr>
      <w:bookmarkStart w:id="8" w:name="bookmark29"/>
      <w:r w:rsidRPr="00D73BAD">
        <w:rPr>
          <w:lang w:val="en-US"/>
        </w:rPr>
        <w:t>Documents and Certificates</w:t>
      </w:r>
      <w:r w:rsidRPr="00D73BAD">
        <w:rPr>
          <w:lang w:val="en-US"/>
        </w:rPr>
        <w:t xml:space="preserve"> </w:t>
      </w:r>
      <w:bookmarkEnd w:id="8"/>
    </w:p>
    <w:p w14:paraId="4D673643" w14:textId="41C6B93D" w:rsidR="00D83A76" w:rsidRPr="00D73BAD" w:rsidRDefault="001C603D">
      <w:pPr>
        <w:pStyle w:val="Gvdemetni0"/>
        <w:jc w:val="both"/>
        <w:rPr>
          <w:lang w:val="en-US"/>
        </w:rPr>
      </w:pPr>
      <w:r w:rsidRPr="00D73BAD">
        <w:rPr>
          <w:b/>
          <w:bCs/>
          <w:lang w:val="en-US" w:eastAsia="en-US" w:bidi="en-US"/>
        </w:rPr>
        <w:t xml:space="preserve">ARTICLE </w:t>
      </w:r>
      <w:r w:rsidR="00000000" w:rsidRPr="00D73BAD">
        <w:rPr>
          <w:b/>
          <w:bCs/>
          <w:lang w:val="en-US"/>
        </w:rPr>
        <w:t xml:space="preserve">14- </w:t>
      </w:r>
      <w:r w:rsidR="00000000" w:rsidRPr="00D73BAD">
        <w:rPr>
          <w:lang w:val="en-US"/>
        </w:rPr>
        <w:t xml:space="preserve">(1) </w:t>
      </w:r>
      <w:r w:rsidR="00205588" w:rsidRPr="00D73BAD">
        <w:rPr>
          <w:lang w:val="en-US"/>
        </w:rPr>
        <w:t>The documents and certificates specified below are issued by the Center</w:t>
      </w:r>
      <w:r w:rsidR="00000000" w:rsidRPr="00D73BAD">
        <w:rPr>
          <w:lang w:val="en-US"/>
        </w:rPr>
        <w:t>.</w:t>
      </w:r>
    </w:p>
    <w:p w14:paraId="0B998029" w14:textId="01BB1059" w:rsidR="00D83A76" w:rsidRPr="00D73BAD" w:rsidRDefault="00DF15FE" w:rsidP="00DF15FE">
      <w:pPr>
        <w:pStyle w:val="Gvdemetni0"/>
        <w:numPr>
          <w:ilvl w:val="0"/>
          <w:numId w:val="7"/>
        </w:numPr>
        <w:tabs>
          <w:tab w:val="left" w:pos="378"/>
        </w:tabs>
        <w:jc w:val="both"/>
        <w:rPr>
          <w:lang w:val="en-US"/>
        </w:rPr>
      </w:pPr>
      <w:r w:rsidRPr="00D73BAD">
        <w:rPr>
          <w:lang w:val="en-US"/>
        </w:rPr>
        <w:t>Turkish Language Certificate</w:t>
      </w:r>
      <w:r w:rsidR="00000000" w:rsidRPr="00D73BAD">
        <w:rPr>
          <w:lang w:val="en-US"/>
        </w:rPr>
        <w:t xml:space="preserve">: </w:t>
      </w:r>
      <w:r w:rsidRPr="00D73BAD">
        <w:rPr>
          <w:lang w:val="en-US"/>
        </w:rPr>
        <w:t xml:space="preserve">It is a language certificate issued to students who are determined to have a language proficiency of B2 and above in the Turkish Level Determination Exam or to </w:t>
      </w:r>
      <w:r w:rsidRPr="00D73BAD">
        <w:rPr>
          <w:lang w:val="en-US"/>
        </w:rPr>
        <w:lastRenderedPageBreak/>
        <w:t>students/trainees who have completed the Turkish Language Course with a language proficiency of B2 and above</w:t>
      </w:r>
      <w:r w:rsidR="00000000" w:rsidRPr="00D73BAD">
        <w:rPr>
          <w:lang w:val="en-US"/>
        </w:rPr>
        <w:t>.</w:t>
      </w:r>
    </w:p>
    <w:p w14:paraId="1AD653E1" w14:textId="332EB54B" w:rsidR="00D83A76" w:rsidRPr="00D73BAD" w:rsidRDefault="00041F14">
      <w:pPr>
        <w:pStyle w:val="Gvdemetni0"/>
        <w:numPr>
          <w:ilvl w:val="0"/>
          <w:numId w:val="7"/>
        </w:numPr>
        <w:tabs>
          <w:tab w:val="left" w:pos="392"/>
        </w:tabs>
        <w:jc w:val="both"/>
        <w:rPr>
          <w:lang w:val="en-US"/>
        </w:rPr>
      </w:pPr>
      <w:r w:rsidRPr="00D73BAD">
        <w:rPr>
          <w:lang w:val="en-US"/>
        </w:rPr>
        <w:t>Turkish Language Course Participation Certificate: It is a participation certificate issued to trainees who have attended 80% of the learning activities carried out by the Center, but have not been able to move on to the next level module from the module they are attending and have not earned the right to earn a Turkish Level Certificate or Turkish Language Certificate</w:t>
      </w:r>
      <w:r w:rsidR="00000000" w:rsidRPr="00D73BAD">
        <w:rPr>
          <w:lang w:val="en-US" w:eastAsia="en-US" w:bidi="en-US"/>
        </w:rPr>
        <w:t>.</w:t>
      </w:r>
    </w:p>
    <w:p w14:paraId="2B5C8DF2" w14:textId="68AD6331" w:rsidR="00D83A76" w:rsidRPr="00D73BAD" w:rsidRDefault="00041F14">
      <w:pPr>
        <w:pStyle w:val="Gvdemetni0"/>
        <w:numPr>
          <w:ilvl w:val="0"/>
          <w:numId w:val="7"/>
        </w:numPr>
        <w:tabs>
          <w:tab w:val="left" w:pos="378"/>
        </w:tabs>
        <w:jc w:val="both"/>
        <w:rPr>
          <w:lang w:val="en-US"/>
        </w:rPr>
      </w:pPr>
      <w:r w:rsidRPr="00D73BAD">
        <w:rPr>
          <w:lang w:val="en-US"/>
        </w:rPr>
        <w:t>Turkish Level Certificate: It is a document showing the language level of the trainee who has successfully completed the Turkish Language Course at A1, A2, B1 levels</w:t>
      </w:r>
      <w:r w:rsidR="00000000" w:rsidRPr="00D73BAD">
        <w:rPr>
          <w:lang w:val="en-US" w:eastAsia="en-US" w:bidi="en-US"/>
        </w:rPr>
        <w:t>.</w:t>
      </w:r>
    </w:p>
    <w:p w14:paraId="18BE4107" w14:textId="6311916C" w:rsidR="00D83A76" w:rsidRPr="00D73BAD" w:rsidRDefault="00000000">
      <w:pPr>
        <w:pStyle w:val="Gvdemetni0"/>
        <w:jc w:val="both"/>
        <w:rPr>
          <w:lang w:val="en-US"/>
        </w:rPr>
      </w:pPr>
      <w:r w:rsidRPr="00D73BAD">
        <w:rPr>
          <w:lang w:val="en-US"/>
        </w:rPr>
        <w:t xml:space="preserve">ç) </w:t>
      </w:r>
      <w:r w:rsidR="00041F14" w:rsidRPr="00D73BAD">
        <w:rPr>
          <w:lang w:val="en-US"/>
        </w:rPr>
        <w:t>Turkish Proficiency Certificate: It is a language proficiency certificate prepared according to the Turkish Proficiency Exam Success Grades based on the Common European Framework of Reference for Languages ​​(CEFR) standards, as a result of the Turkish Proficiency Exam administered by the Center</w:t>
      </w:r>
      <w:r w:rsidRPr="00D73BAD">
        <w:rPr>
          <w:lang w:val="en-US"/>
        </w:rPr>
        <w:t>.</w:t>
      </w:r>
    </w:p>
    <w:p w14:paraId="55D1614A" w14:textId="29B4E57B" w:rsidR="00D83A76" w:rsidRPr="00D73BAD" w:rsidRDefault="00000000">
      <w:pPr>
        <w:pStyle w:val="Gvdemetni0"/>
        <w:spacing w:after="260"/>
        <w:jc w:val="both"/>
        <w:rPr>
          <w:lang w:val="en-US"/>
        </w:rPr>
      </w:pPr>
      <w:r w:rsidRPr="00D73BAD">
        <w:rPr>
          <w:lang w:val="en-US" w:eastAsia="en-US" w:bidi="en-US"/>
        </w:rPr>
        <w:t xml:space="preserve">(2) </w:t>
      </w:r>
      <w:r w:rsidR="00041F14" w:rsidRPr="00D73BAD">
        <w:rPr>
          <w:lang w:val="en-US"/>
        </w:rPr>
        <w:t>The validity period of the Turkish Proficiency Certificate issued by Fenerbahçe University Turkish Language Teaching Application and Research Center is 2 (two) years</w:t>
      </w:r>
      <w:r w:rsidRPr="00D73BAD">
        <w:rPr>
          <w:lang w:val="en-US"/>
        </w:rPr>
        <w:t>.</w:t>
      </w:r>
    </w:p>
    <w:p w14:paraId="5C8E331E" w14:textId="167872D4" w:rsidR="00D83A76" w:rsidRPr="00D73BAD" w:rsidRDefault="00041F14">
      <w:pPr>
        <w:pStyle w:val="Gvdemetni0"/>
        <w:jc w:val="center"/>
        <w:rPr>
          <w:lang w:val="en-US"/>
        </w:rPr>
      </w:pPr>
      <w:r w:rsidRPr="00D73BAD">
        <w:rPr>
          <w:b/>
          <w:bCs/>
          <w:lang w:val="en-US"/>
        </w:rPr>
        <w:t>PART FOUR</w:t>
      </w:r>
    </w:p>
    <w:p w14:paraId="564BDA91" w14:textId="7C077015" w:rsidR="00D83A76" w:rsidRPr="00D73BAD" w:rsidRDefault="00000000">
      <w:pPr>
        <w:pStyle w:val="Gvdemetni0"/>
        <w:spacing w:after="260"/>
        <w:jc w:val="center"/>
        <w:rPr>
          <w:lang w:val="en-US"/>
        </w:rPr>
      </w:pPr>
      <w:r w:rsidRPr="00D73BAD">
        <w:rPr>
          <w:b/>
          <w:bCs/>
          <w:lang w:val="en-US"/>
        </w:rPr>
        <w:t>Gene</w:t>
      </w:r>
      <w:r w:rsidR="00041F14" w:rsidRPr="00D73BAD">
        <w:rPr>
          <w:b/>
          <w:bCs/>
          <w:lang w:val="en-US"/>
        </w:rPr>
        <w:t>ral Provisions</w:t>
      </w:r>
    </w:p>
    <w:p w14:paraId="370CD042" w14:textId="0E6C17CF" w:rsidR="00D83A76" w:rsidRPr="00D73BAD" w:rsidRDefault="007E7851">
      <w:pPr>
        <w:pStyle w:val="Balk10"/>
        <w:keepNext/>
        <w:keepLines/>
        <w:jc w:val="both"/>
        <w:rPr>
          <w:lang w:val="en-US"/>
        </w:rPr>
      </w:pPr>
      <w:r w:rsidRPr="00D73BAD">
        <w:rPr>
          <w:lang w:val="en-US"/>
        </w:rPr>
        <w:t>Trainee ID Card</w:t>
      </w:r>
    </w:p>
    <w:p w14:paraId="019E36D1" w14:textId="601B3992" w:rsidR="00D83A76" w:rsidRPr="00D73BAD" w:rsidRDefault="001C603D">
      <w:pPr>
        <w:pStyle w:val="Gvdemetni0"/>
        <w:spacing w:after="260"/>
        <w:jc w:val="both"/>
        <w:rPr>
          <w:lang w:val="en-US"/>
        </w:rPr>
      </w:pPr>
      <w:r w:rsidRPr="00D73BAD">
        <w:rPr>
          <w:b/>
          <w:bCs/>
          <w:lang w:val="en-US" w:eastAsia="en-US" w:bidi="en-US"/>
        </w:rPr>
        <w:t xml:space="preserve">ARTICLE </w:t>
      </w:r>
      <w:r w:rsidR="00000000" w:rsidRPr="00D73BAD">
        <w:rPr>
          <w:b/>
          <w:bCs/>
          <w:lang w:val="en-US"/>
        </w:rPr>
        <w:t xml:space="preserve">15- </w:t>
      </w:r>
      <w:r w:rsidR="00000000" w:rsidRPr="00D73BAD">
        <w:rPr>
          <w:lang w:val="en-US"/>
        </w:rPr>
        <w:t xml:space="preserve">(1) </w:t>
      </w:r>
      <w:r w:rsidR="007E7851" w:rsidRPr="00D73BAD">
        <w:rPr>
          <w:lang w:val="en-US"/>
        </w:rPr>
        <w:t>A Trainee ID Card valid at the University is prepared for students who register for the Turkish Language Course opened within the Center. The Trainee ID Card does not replace the Student ID Card. The validity period of the Trainee ID Card covers the period during which the student is registered for the Turkish Language Course</w:t>
      </w:r>
      <w:r w:rsidR="00000000" w:rsidRPr="00D73BAD">
        <w:rPr>
          <w:lang w:val="en-US"/>
        </w:rPr>
        <w:t>.</w:t>
      </w:r>
    </w:p>
    <w:p w14:paraId="2DA9A44D" w14:textId="6BC82488" w:rsidR="00D83A76" w:rsidRPr="00D73BAD" w:rsidRDefault="007E7851">
      <w:pPr>
        <w:pStyle w:val="Balk10"/>
        <w:keepNext/>
        <w:keepLines/>
        <w:jc w:val="both"/>
        <w:rPr>
          <w:lang w:val="en-US"/>
        </w:rPr>
      </w:pPr>
      <w:r w:rsidRPr="00D73BAD">
        <w:rPr>
          <w:lang w:val="en-US"/>
        </w:rPr>
        <w:t>Legal Clauses</w:t>
      </w:r>
    </w:p>
    <w:p w14:paraId="6010F68A" w14:textId="1AD6B0BB" w:rsidR="00D83A76" w:rsidRPr="00D73BAD" w:rsidRDefault="001C603D">
      <w:pPr>
        <w:pStyle w:val="Gvdemetni0"/>
        <w:spacing w:after="260"/>
        <w:jc w:val="both"/>
        <w:rPr>
          <w:lang w:val="en-US"/>
        </w:rPr>
      </w:pPr>
      <w:r w:rsidRPr="00D73BAD">
        <w:rPr>
          <w:b/>
          <w:bCs/>
          <w:lang w:val="en-US" w:eastAsia="en-US" w:bidi="en-US"/>
        </w:rPr>
        <w:t xml:space="preserve">ARTICLE </w:t>
      </w:r>
      <w:r w:rsidR="00000000" w:rsidRPr="00D73BAD">
        <w:rPr>
          <w:b/>
          <w:bCs/>
          <w:lang w:val="en-US"/>
        </w:rPr>
        <w:t xml:space="preserve">16- </w:t>
      </w:r>
      <w:r w:rsidR="00000000" w:rsidRPr="00D73BAD">
        <w:rPr>
          <w:lang w:val="en-US"/>
        </w:rPr>
        <w:t xml:space="preserve">(1) </w:t>
      </w:r>
      <w:r w:rsidR="007E7851" w:rsidRPr="00D73BAD">
        <w:rPr>
          <w:lang w:val="en-US"/>
        </w:rPr>
        <w:t>In matters not included in this Directive, the provisions of the Higher Education Law No. 2547, Fenerbahçe University Associate and Undergraduate Education Regulation and the decisions of the Senate and the University Board of Directors shall apply</w:t>
      </w:r>
      <w:r w:rsidR="00000000" w:rsidRPr="00D73BAD">
        <w:rPr>
          <w:lang w:val="en-US"/>
        </w:rPr>
        <w:t>.</w:t>
      </w:r>
    </w:p>
    <w:p w14:paraId="05CEE5F0" w14:textId="0451E2F8" w:rsidR="00D83A76" w:rsidRPr="00D73BAD" w:rsidRDefault="007E7851">
      <w:pPr>
        <w:pStyle w:val="Balk10"/>
        <w:keepNext/>
        <w:keepLines/>
        <w:jc w:val="both"/>
        <w:rPr>
          <w:lang w:val="en-US"/>
        </w:rPr>
      </w:pPr>
      <w:r w:rsidRPr="00D73BAD">
        <w:rPr>
          <w:lang w:val="en-US"/>
        </w:rPr>
        <w:t>Effectiveness</w:t>
      </w:r>
    </w:p>
    <w:p w14:paraId="6D57E33B" w14:textId="6EF71B62" w:rsidR="00D83A76" w:rsidRPr="00D73BAD" w:rsidRDefault="001C603D">
      <w:pPr>
        <w:pStyle w:val="Gvdemetni0"/>
        <w:spacing w:after="260"/>
        <w:jc w:val="both"/>
        <w:rPr>
          <w:lang w:val="en-US"/>
        </w:rPr>
      </w:pPr>
      <w:r w:rsidRPr="00D73BAD">
        <w:rPr>
          <w:b/>
          <w:bCs/>
          <w:lang w:val="en-US" w:eastAsia="en-US" w:bidi="en-US"/>
        </w:rPr>
        <w:t xml:space="preserve">ARTICLE </w:t>
      </w:r>
      <w:r w:rsidR="00000000" w:rsidRPr="00D73BAD">
        <w:rPr>
          <w:b/>
          <w:bCs/>
          <w:lang w:val="en-US"/>
        </w:rPr>
        <w:t xml:space="preserve">17- </w:t>
      </w:r>
      <w:r w:rsidR="00000000" w:rsidRPr="00D73BAD">
        <w:rPr>
          <w:lang w:val="en-US"/>
        </w:rPr>
        <w:t xml:space="preserve">(1) </w:t>
      </w:r>
      <w:r w:rsidR="007E7851" w:rsidRPr="00D73BAD">
        <w:rPr>
          <w:lang w:val="en-US"/>
        </w:rPr>
        <w:t>This Directive shall be effective from 2020-2021 Academic Year</w:t>
      </w:r>
      <w:r w:rsidR="00000000" w:rsidRPr="00D73BAD">
        <w:rPr>
          <w:lang w:val="en-US"/>
        </w:rPr>
        <w:t>.</w:t>
      </w:r>
    </w:p>
    <w:p w14:paraId="5FB52D5E" w14:textId="5954A092" w:rsidR="00D83A76" w:rsidRPr="00D73BAD" w:rsidRDefault="007E7851">
      <w:pPr>
        <w:pStyle w:val="Balk10"/>
        <w:keepNext/>
        <w:keepLines/>
        <w:jc w:val="both"/>
        <w:rPr>
          <w:lang w:val="en-US"/>
        </w:rPr>
      </w:pPr>
      <w:r w:rsidRPr="00D73BAD">
        <w:rPr>
          <w:lang w:val="en-US"/>
        </w:rPr>
        <w:t>Enforcement</w:t>
      </w:r>
    </w:p>
    <w:p w14:paraId="449A4E62" w14:textId="6931D15A" w:rsidR="00D83A76" w:rsidRPr="00D73BAD" w:rsidRDefault="001C603D">
      <w:pPr>
        <w:pStyle w:val="Gvdemetni0"/>
        <w:spacing w:after="260"/>
        <w:jc w:val="both"/>
        <w:rPr>
          <w:lang w:val="en-US"/>
        </w:rPr>
      </w:pPr>
      <w:r w:rsidRPr="00D73BAD">
        <w:rPr>
          <w:b/>
          <w:bCs/>
          <w:lang w:val="en-US" w:eastAsia="en-US" w:bidi="en-US"/>
        </w:rPr>
        <w:t xml:space="preserve">ARTICLE </w:t>
      </w:r>
      <w:r w:rsidR="00000000" w:rsidRPr="00D73BAD">
        <w:rPr>
          <w:b/>
          <w:bCs/>
          <w:lang w:val="en-US"/>
        </w:rPr>
        <w:t xml:space="preserve">18- </w:t>
      </w:r>
      <w:r w:rsidR="00000000" w:rsidRPr="00D73BAD">
        <w:rPr>
          <w:lang w:val="en-US"/>
        </w:rPr>
        <w:t xml:space="preserve">(1) </w:t>
      </w:r>
      <w:r w:rsidR="007E7851" w:rsidRPr="00D73BAD">
        <w:rPr>
          <w:lang w:val="en-US"/>
        </w:rPr>
        <w:t>This Directive shall be enforced by the Rector of Fenerbahçe Universit</w:t>
      </w:r>
      <w:r w:rsidR="007E7851" w:rsidRPr="00D73BAD">
        <w:rPr>
          <w:lang w:val="en-US"/>
        </w:rPr>
        <w:t>y</w:t>
      </w:r>
      <w:r w:rsidR="00000000" w:rsidRPr="00D73BAD">
        <w:rPr>
          <w:lang w:val="en-US"/>
        </w:rPr>
        <w:t>.</w:t>
      </w:r>
    </w:p>
    <w:sectPr w:rsidR="00D83A76" w:rsidRPr="00D73BAD">
      <w:headerReference w:type="default" r:id="rId7"/>
      <w:footerReference w:type="default" r:id="rId8"/>
      <w:pgSz w:w="12240" w:h="16834"/>
      <w:pgMar w:top="1908" w:right="1390" w:bottom="2066" w:left="139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23EA" w14:textId="77777777" w:rsidR="00CA023D" w:rsidRDefault="00CA023D">
      <w:r>
        <w:separator/>
      </w:r>
    </w:p>
  </w:endnote>
  <w:endnote w:type="continuationSeparator" w:id="0">
    <w:p w14:paraId="597A8199" w14:textId="77777777" w:rsidR="00CA023D" w:rsidRDefault="00CA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6C60" w14:textId="77777777" w:rsidR="00D83A76" w:rsidRDefault="00000000">
    <w:pPr>
      <w:spacing w:line="1" w:lineRule="exact"/>
    </w:pPr>
    <w:r>
      <w:rPr>
        <w:noProof/>
      </w:rPr>
      <mc:AlternateContent>
        <mc:Choice Requires="wps">
          <w:drawing>
            <wp:anchor distT="0" distB="0" distL="0" distR="0" simplePos="0" relativeHeight="62914692" behindDoc="1" locked="0" layoutInCell="1" allowOverlap="1" wp14:anchorId="107E0FAC" wp14:editId="4F2BEBB0">
              <wp:simplePos x="0" y="0"/>
              <wp:positionH relativeFrom="page">
                <wp:posOffset>6791960</wp:posOffset>
              </wp:positionH>
              <wp:positionV relativeFrom="page">
                <wp:posOffset>9611995</wp:posOffset>
              </wp:positionV>
              <wp:extent cx="5461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103505"/>
                      </a:xfrm>
                      <a:prstGeom prst="rect">
                        <a:avLst/>
                      </a:prstGeom>
                      <a:noFill/>
                    </wps:spPr>
                    <wps:txbx>
                      <w:txbxContent>
                        <w:p w14:paraId="0F1249A6" w14:textId="77777777" w:rsidR="00D83A76" w:rsidRDefault="00000000">
                          <w:pPr>
                            <w:pStyle w:val="stbilgiveyaaltbilgi20"/>
                            <w:rPr>
                              <w:sz w:val="24"/>
                              <w:szCs w:val="24"/>
                            </w:rPr>
                          </w:pPr>
                          <w:r>
                            <w:fldChar w:fldCharType="begin"/>
                          </w:r>
                          <w:r>
                            <w:instrText xml:space="preserve"> PAGE \* MERGEFORMAT </w:instrText>
                          </w:r>
                          <w:r>
                            <w:fldChar w:fldCharType="separate"/>
                          </w:r>
                          <w:r>
                            <w:rPr>
                              <w:b/>
                              <w:bCs/>
                              <w:sz w:val="24"/>
                              <w:szCs w:val="24"/>
                            </w:rPr>
                            <w:t>#</w:t>
                          </w:r>
                          <w:r>
                            <w:rPr>
                              <w:b/>
                              <w:bCs/>
                              <w:sz w:val="24"/>
                              <w:szCs w:val="24"/>
                            </w:rPr>
                            <w:fldChar w:fldCharType="end"/>
                          </w:r>
                        </w:p>
                      </w:txbxContent>
                    </wps:txbx>
                    <wps:bodyPr wrap="none" lIns="0" tIns="0" rIns="0" bIns="0">
                      <a:spAutoFit/>
                    </wps:bodyPr>
                  </wps:wsp>
                </a:graphicData>
              </a:graphic>
            </wp:anchor>
          </w:drawing>
        </mc:Choice>
        <mc:Fallback>
          <w:pict>
            <v:shapetype w14:anchorId="107E0FAC" id="_x0000_t202" coordsize="21600,21600" o:spt="202" path="m,l,21600r21600,l21600,xe">
              <v:stroke joinstyle="miter"/>
              <v:path gradientshapeok="t" o:connecttype="rect"/>
            </v:shapetype>
            <v:shape id="Shape 5" o:spid="_x0000_s1028" type="#_x0000_t202" style="position:absolute;margin-left:534.8pt;margin-top:756.85pt;width:4.3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" filled="f" stroked="f">
              <v:textbox style="mso-fit-shape-to-text:t" inset="0,0,0,0">
                <w:txbxContent>
                  <w:p w14:paraId="0F1249A6" w14:textId="77777777" w:rsidR="00D83A76" w:rsidRDefault="00000000">
                    <w:pPr>
                      <w:pStyle w:val="stbilgiveyaaltbilgi20"/>
                      <w:rPr>
                        <w:sz w:val="24"/>
                        <w:szCs w:val="24"/>
                      </w:rPr>
                    </w:pPr>
                    <w:r>
                      <w:fldChar w:fldCharType="begin"/>
                    </w:r>
                    <w:r>
                      <w:instrText xml:space="preserve"> PAGE \* MERGEFORMAT </w:instrText>
                    </w:r>
                    <w:r>
                      <w:fldChar w:fldCharType="separate"/>
                    </w:r>
                    <w:r>
                      <w:rPr>
                        <w:b/>
                        <w:bCs/>
                        <w:sz w:val="24"/>
                        <w:szCs w:val="24"/>
                      </w:rPr>
                      <w:t>#</w:t>
                    </w:r>
                    <w:r>
                      <w:rPr>
                        <w:b/>
                        <w:bCs/>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81764" w14:textId="77777777" w:rsidR="00CA023D" w:rsidRDefault="00CA023D"/>
  </w:footnote>
  <w:footnote w:type="continuationSeparator" w:id="0">
    <w:p w14:paraId="76DB251A" w14:textId="77777777" w:rsidR="00CA023D" w:rsidRDefault="00CA0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01358" w14:textId="77777777" w:rsidR="00D83A76" w:rsidRDefault="00000000">
    <w:pPr>
      <w:spacing w:line="1" w:lineRule="exact"/>
    </w:pPr>
    <w:r>
      <w:rPr>
        <w:noProof/>
      </w:rPr>
      <mc:AlternateContent>
        <mc:Choice Requires="wps">
          <w:drawing>
            <wp:anchor distT="0" distB="0" distL="0" distR="0" simplePos="0" relativeHeight="62914690" behindDoc="1" locked="0" layoutInCell="1" allowOverlap="1" wp14:anchorId="39FA37B0" wp14:editId="4F371DC6">
              <wp:simplePos x="0" y="0"/>
              <wp:positionH relativeFrom="page">
                <wp:posOffset>4972685</wp:posOffset>
              </wp:positionH>
              <wp:positionV relativeFrom="page">
                <wp:posOffset>809625</wp:posOffset>
              </wp:positionV>
              <wp:extent cx="187452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1874520" cy="97790"/>
                      </a:xfrm>
                      <a:prstGeom prst="rect">
                        <a:avLst/>
                      </a:prstGeom>
                      <a:noFill/>
                    </wps:spPr>
                    <wps:txbx>
                      <w:txbxContent>
                        <w:p w14:paraId="28997043" w14:textId="3917F9DE" w:rsidR="00D83A76" w:rsidRDefault="001C603D">
                          <w:pPr>
                            <w:pStyle w:val="stbilgiveyaaltbilgi20"/>
                            <w:rPr>
                              <w:sz w:val="22"/>
                              <w:szCs w:val="22"/>
                            </w:rPr>
                          </w:pPr>
                          <w:r>
                            <w:rPr>
                              <w:b/>
                              <w:bCs/>
                              <w:sz w:val="22"/>
                              <w:szCs w:val="22"/>
                            </w:rPr>
                            <w:t>SENATE DECISION</w:t>
                          </w:r>
                          <w:r w:rsidR="00000000">
                            <w:rPr>
                              <w:b/>
                              <w:bCs/>
                              <w:sz w:val="22"/>
                              <w:szCs w:val="22"/>
                            </w:rPr>
                            <w:t>: 09/09/2021</w:t>
                          </w:r>
                        </w:p>
                      </w:txbxContent>
                    </wps:txbx>
                    <wps:bodyPr wrap="none" lIns="0" tIns="0" rIns="0" bIns="0">
                      <a:spAutoFit/>
                    </wps:bodyPr>
                  </wps:wsp>
                </a:graphicData>
              </a:graphic>
            </wp:anchor>
          </w:drawing>
        </mc:Choice>
        <mc:Fallback>
          <w:pict>
            <v:shapetype w14:anchorId="39FA37B0" id="_x0000_t202" coordsize="21600,21600" o:spt="202" path="m,l,21600r21600,l21600,xe">
              <v:stroke joinstyle="miter"/>
              <v:path gradientshapeok="t" o:connecttype="rect"/>
            </v:shapetype>
            <v:shape id="Shape 3" o:spid="_x0000_s1027" type="#_x0000_t202" style="position:absolute;margin-left:391.55pt;margin-top:63.75pt;width:147.6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" filled="f" stroked="f">
              <v:textbox style="mso-fit-shape-to-text:t" inset="0,0,0,0">
                <w:txbxContent>
                  <w:p w14:paraId="28997043" w14:textId="3917F9DE" w:rsidR="00D83A76" w:rsidRDefault="001C603D">
                    <w:pPr>
                      <w:pStyle w:val="stbilgiveyaaltbilgi20"/>
                      <w:rPr>
                        <w:sz w:val="22"/>
                        <w:szCs w:val="22"/>
                      </w:rPr>
                    </w:pPr>
                    <w:r>
                      <w:rPr>
                        <w:b/>
                        <w:bCs/>
                        <w:sz w:val="22"/>
                        <w:szCs w:val="22"/>
                      </w:rPr>
                      <w:t>SENATE DECISION</w:t>
                    </w:r>
                    <w:r w:rsidR="00000000">
                      <w:rPr>
                        <w:b/>
                        <w:bCs/>
                        <w:sz w:val="22"/>
                        <w:szCs w:val="22"/>
                      </w:rPr>
                      <w:t>: 09/09/2021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20F"/>
    <w:multiLevelType w:val="multilevel"/>
    <w:tmpl w:val="39224C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825C5"/>
    <w:multiLevelType w:val="multilevel"/>
    <w:tmpl w:val="7C80BE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21C1E"/>
    <w:multiLevelType w:val="multilevel"/>
    <w:tmpl w:val="9FC6E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4832A7"/>
    <w:multiLevelType w:val="multilevel"/>
    <w:tmpl w:val="FD5441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0C284B"/>
    <w:multiLevelType w:val="multilevel"/>
    <w:tmpl w:val="E75E8F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026403"/>
    <w:multiLevelType w:val="multilevel"/>
    <w:tmpl w:val="12EC54D6"/>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581734"/>
    <w:multiLevelType w:val="multilevel"/>
    <w:tmpl w:val="D43EE9FA"/>
    <w:lvl w:ilvl="0">
      <w:start w:val="15"/>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7206087">
    <w:abstractNumId w:val="4"/>
  </w:num>
  <w:num w:numId="2" w16cid:durableId="1793748432">
    <w:abstractNumId w:val="5"/>
  </w:num>
  <w:num w:numId="3" w16cid:durableId="457994463">
    <w:abstractNumId w:val="6"/>
  </w:num>
  <w:num w:numId="4" w16cid:durableId="708409688">
    <w:abstractNumId w:val="1"/>
  </w:num>
  <w:num w:numId="5" w16cid:durableId="831873700">
    <w:abstractNumId w:val="0"/>
  </w:num>
  <w:num w:numId="6" w16cid:durableId="365371677">
    <w:abstractNumId w:val="3"/>
  </w:num>
  <w:num w:numId="7" w16cid:durableId="1260212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6"/>
    <w:rsid w:val="00041F14"/>
    <w:rsid w:val="00087041"/>
    <w:rsid w:val="000A0D99"/>
    <w:rsid w:val="001C603D"/>
    <w:rsid w:val="001F48A8"/>
    <w:rsid w:val="00205588"/>
    <w:rsid w:val="002A3B61"/>
    <w:rsid w:val="00304B59"/>
    <w:rsid w:val="00387F39"/>
    <w:rsid w:val="00456CE0"/>
    <w:rsid w:val="00564ED7"/>
    <w:rsid w:val="005C5B8D"/>
    <w:rsid w:val="005E299E"/>
    <w:rsid w:val="00610BA8"/>
    <w:rsid w:val="006D10D5"/>
    <w:rsid w:val="00766AC6"/>
    <w:rsid w:val="00795736"/>
    <w:rsid w:val="007E7851"/>
    <w:rsid w:val="008424A0"/>
    <w:rsid w:val="00857FB2"/>
    <w:rsid w:val="008A159C"/>
    <w:rsid w:val="00904617"/>
    <w:rsid w:val="009932D0"/>
    <w:rsid w:val="00A3085C"/>
    <w:rsid w:val="00A7308F"/>
    <w:rsid w:val="00B17111"/>
    <w:rsid w:val="00B70E08"/>
    <w:rsid w:val="00CA023D"/>
    <w:rsid w:val="00D73BAD"/>
    <w:rsid w:val="00D82628"/>
    <w:rsid w:val="00D83A76"/>
    <w:rsid w:val="00DE20E9"/>
    <w:rsid w:val="00DF15FE"/>
    <w:rsid w:val="00DF798A"/>
    <w:rsid w:val="00ED3C07"/>
    <w:rsid w:val="00EE3FC5"/>
    <w:rsid w:val="00FC2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C14A1"/>
  <w15:docId w15:val="{92506949-F15F-4BD7-82F3-A7EC3466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u w:val="none"/>
    </w:rPr>
  </w:style>
  <w:style w:type="paragraph" w:customStyle="1" w:styleId="Gvdemetni0">
    <w:name w:val="Gövde metni"/>
    <w:basedOn w:val="Normal"/>
    <w:link w:val="Gvdemetni"/>
    <w:pPr>
      <w:spacing w:line="259" w:lineRule="auto"/>
    </w:pPr>
    <w:rPr>
      <w:rFonts w:ascii="Times New Roman" w:eastAsia="Times New Roman" w:hAnsi="Times New Roman" w:cs="Times New Roman"/>
    </w:rPr>
  </w:style>
  <w:style w:type="paragraph" w:customStyle="1" w:styleId="Balk10">
    <w:name w:val="Başlık #1"/>
    <w:basedOn w:val="Normal"/>
    <w:link w:val="Balk1"/>
    <w:pPr>
      <w:spacing w:line="259" w:lineRule="auto"/>
      <w:outlineLvl w:val="0"/>
    </w:pPr>
    <w:rPr>
      <w:rFonts w:ascii="Times New Roman" w:eastAsia="Times New Roman" w:hAnsi="Times New Roman" w:cs="Times New Roman"/>
      <w:b/>
      <w:bCs/>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lang w:val="en-US" w:eastAsia="en-US" w:bidi="en-US"/>
    </w:rPr>
  </w:style>
  <w:style w:type="paragraph" w:customStyle="1" w:styleId="Tabloyazs0">
    <w:name w:val="Tablo yazısı"/>
    <w:basedOn w:val="Normal"/>
    <w:link w:val="Tabloyazs"/>
    <w:rPr>
      <w:rFonts w:ascii="Times New Roman" w:eastAsia="Times New Roman" w:hAnsi="Times New Roman" w:cs="Times New Roman"/>
    </w:rPr>
  </w:style>
  <w:style w:type="paragraph" w:customStyle="1" w:styleId="Dier0">
    <w:name w:val="Diğer"/>
    <w:basedOn w:val="Normal"/>
    <w:link w:val="Dier"/>
    <w:pPr>
      <w:spacing w:line="259" w:lineRule="auto"/>
    </w:pPr>
    <w:rPr>
      <w:rFonts w:ascii="Times New Roman" w:eastAsia="Times New Roman" w:hAnsi="Times New Roman" w:cs="Times New Roman"/>
    </w:rPr>
  </w:style>
  <w:style w:type="paragraph" w:styleId="stBilgi">
    <w:name w:val="header"/>
    <w:basedOn w:val="Normal"/>
    <w:link w:val="stBilgiChar"/>
    <w:uiPriority w:val="99"/>
    <w:unhideWhenUsed/>
    <w:rsid w:val="001C603D"/>
    <w:pPr>
      <w:tabs>
        <w:tab w:val="center" w:pos="4536"/>
        <w:tab w:val="right" w:pos="9072"/>
      </w:tabs>
    </w:pPr>
  </w:style>
  <w:style w:type="character" w:customStyle="1" w:styleId="stBilgiChar">
    <w:name w:val="Üst Bilgi Char"/>
    <w:basedOn w:val="VarsaylanParagrafYazTipi"/>
    <w:link w:val="stBilgi"/>
    <w:uiPriority w:val="99"/>
    <w:rsid w:val="001C603D"/>
    <w:rPr>
      <w:color w:val="000000"/>
    </w:rPr>
  </w:style>
  <w:style w:type="paragraph" w:styleId="AltBilgi">
    <w:name w:val="footer"/>
    <w:basedOn w:val="Normal"/>
    <w:link w:val="AltBilgiChar"/>
    <w:uiPriority w:val="99"/>
    <w:unhideWhenUsed/>
    <w:rsid w:val="001C603D"/>
    <w:pPr>
      <w:tabs>
        <w:tab w:val="center" w:pos="4536"/>
        <w:tab w:val="right" w:pos="9072"/>
      </w:tabs>
    </w:pPr>
  </w:style>
  <w:style w:type="character" w:customStyle="1" w:styleId="AltBilgiChar">
    <w:name w:val="Alt Bilgi Char"/>
    <w:basedOn w:val="VarsaylanParagrafYazTipi"/>
    <w:link w:val="AltBilgi"/>
    <w:uiPriority w:val="99"/>
    <w:rsid w:val="001C60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2804</Words>
  <Characters>15984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Microsoft Word - Türkçe Öğretimi Uygulama ve Araştırma Merkezi Eğitim-Öğretim Yönergesi.docx</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Türkçe Öğretimi Uygulama ve Araştırma Merkezi Eğitim-Öğretim Yönergesi.docx</dc:title>
  <dc:subject/>
  <dc:creator/>
  <cp:keywords/>
  <cp:lastModifiedBy>zehrayilmazmaden@gmail.com</cp:lastModifiedBy>
  <cp:revision>32</cp:revision>
  <dcterms:created xsi:type="dcterms:W3CDTF">2024-09-11T08:08:00Z</dcterms:created>
  <dcterms:modified xsi:type="dcterms:W3CDTF">2024-09-11T09:51:00Z</dcterms:modified>
</cp:coreProperties>
</file>